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8,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7"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3">
            <w:col w:w="4320" w:space="720"/>
            <w:col w:w="2280" w:space="720"/>
            <w:col w:w="3200"/>
          </w:cols>
          <w:pgMar w:left="320" w:top="697"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7373 Gateway Boulevard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November 8, 2022, Lucid Group, Inc. (the “Company”) entered into a Subscription Agreement, dated November 8, 2022 (the “Subscription Agreement”), between the Company and Ayar Third Investment Company, a single shareholder limited liability company organized under the laws of the Kingdom of Saudi Arabia (“Ayar”), affiliate of the Public Investment Fund (“PIF”) and the Company’s majority shareholder. Pursuant to the Subscription Agreement, Ayar will purchase from the Company shares of the Company’s Class A common stock (the “common stock”) in one or more private placements through at least March 31, 2023. These private placements are collectively referred to as the “Ayar Investment.”</w:t>
      </w:r>
    </w:p>
    <w:p>
      <w:pPr>
        <w:spacing w:after="0" w:line="176"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The number of shares that Ayar will purchase from the Company in the Ayar Investment will be equal to the number of shares of common stock that the Company actually sells pursuant to the Equity Distribution Agreement (as defined below under the caption “Equity Distribution Agreement”) or certain other public offerings of common stock through the term of the Subscription Agreement, multiplied by a ratio, the numerator of which is approximately</w:t>
      </w:r>
    </w:p>
    <w:p>
      <w:pPr>
        <w:spacing w:after="0" w:line="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60.4%, which is the number of shares of common stock owned by Ayar as a percentage of the total number of shares of Lucid’s common stock outstanding as of September 30, 2022, and the denominator of which is approximately 39.6%, rounded down to the nearest whole share. The Company will settle the Ayar Investment as it relates to offerings pursuant to the Equity Distribution Agreement on the last trading day of each calendar quarter based on the number of shares the Company actually sold pursuant to Equity Distribution Agreement during such calendar quarter, at a price per share equal to the volume-weighted average price to the public of the shares that the Company actually sold pursuant to the Equity Distribution Agreement during such calendar quarter. The Company expects to settle the Ayar Investment as it relates to other applicable public offerings of common stock in six business days after the pricing of the related public offering, at a price per share equal to the price paid by the investors in such offering, provided that the sale price of common stock in such other offering is less than the volume-weighted average sale price of the common stock sold pursuant to the Equity Distribution Agreement beginning on the date of the Subscription Agreement and ending on the first date that common stock in such other offering is offered to investors. The maximum aggregate offering amount of common stock that the Company may sell to Ayar is $915 million.</w:t>
      </w:r>
    </w:p>
    <w:p>
      <w:pPr>
        <w:spacing w:after="0" w:line="16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Ayar has the right, but not the obligation, to enter into a new subscription agreement substantially consistent with the Subscription Agreement in respect of any increase to the aggregate offering price of the ATM Offering (as defined below under the caption “Equity Distribution Agreement”) and/or any new at-the-market offering of the Company’s common stock proposed during the term of the Subscription Agreement.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of common stock to be sold to Ayar pursuant to the Subscription Agreement will be sold in reliance on the exemption from registration provided in Section 4(a)(2) of the Securities Act of 1933, as amended (the “Securities Act”). Common stock acquired by Ayar under the Subscription Agreement will be subject to the Investor Rights Agreement, dated as of February 22, 2021, by and among the Company, Ayar, and the other parties thereto (the “Investor Rights Agreement”), which governs the registration for resale of such common stock.</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Subscription Agreement, Ayar has agreed, with certain exceptions, that without prior written consent of the Company, it will not, for six months after the date of any private placement:</w:t>
      </w:r>
    </w:p>
    <w:p>
      <w:pPr>
        <w:spacing w:after="0" w:line="170" w:lineRule="exact"/>
        <w:rPr>
          <w:sz w:val="20"/>
          <w:szCs w:val="20"/>
          <w:color w:val="auto"/>
        </w:rPr>
      </w:pPr>
    </w:p>
    <w:p>
      <w:pPr>
        <w:ind w:right="380" w:firstLine="8"/>
        <w:spacing w:after="0" w:line="263" w:lineRule="auto"/>
        <w:tabs>
          <w:tab w:leader="none" w:pos="288"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300" w:firstLine="8"/>
        <w:spacing w:after="0" w:line="263" w:lineRule="auto"/>
        <w:tabs>
          <w:tab w:leader="none" w:pos="288"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each case, whether any such transaction described above is to be settled by delivery of common stock or such other securities, in cash or otherwise.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the Company’s board of directors and made to all holders of shares of the Company’s capital stock involving a change of control. These restrictions apply to securities owned now or acquired later by Ayar or for which Ayar has or later acquires the power of disposition.</w:t>
      </w:r>
    </w:p>
    <w:p>
      <w:pPr>
        <w:spacing w:after="0" w:line="192"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The description of the Subscription Agreement does not purport to be complete and is qualified in its entirety by reference to the full text of the Subscription Agreement included as Exhibit 10.1 to this Current Report on Form 8-K and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Investor Rights Agreement</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November 8, 2022, concurrently with entering into the Subscription Agreement, the Company entered into an amendment to the Investor Rights Agreement (the “IRA Amendment”). Pursuant to the IRA Amendment, Ayar will be entitled to certain registration rights, including demand, piggy-back and shelf registration rights, with respect to the shares of common stock Ayar purchased in the Private Placement.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if the Company commences certain equity offerings, the Company has agreed to provide Ayar with advance notice and an opportunity to participate as a purchaser in such offering or in a private placement substantially concurrent with such offering, subject to certain conditions. This provision will automatically terminate after such time as Ayar ceases to own at least 40% of the outstanding common stock of the Company.</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description of the IRA Amendment does not purport to be complete and is qualified in its entirety by reference to the full text of the IRA Amendment included as Exhibit 10.2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Item 1.01 under the caption “Private Placement” above is incorporated by reference into this Item 3.02.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8, 2022, the Company, entered into an equity distribution agreement (the “Equity Distribution Agreement”) by and among the Company, on the one hand, and BofA Securities, Inc., Barclays Capital Inc. and Citigroup Global Markets Inc., on the other hand. (each, a “Manager” and collectively, the “Managers”), on the other hand. Pursuant to the terms of the Equity Distribution Agreement, the Company may sell, from time to time through or to the Managers, as the Company’s sales agents or as principals, shares of common stock having an aggregate offering price of up to $600 million (the “ATM Shares”). The sales, if any, of the ATM Shares under the Equity Distribution Agreement (the “ATM Offering”) will be made by means of ordinary brokers’ transactions on the Nasdaq Global Select Market at market prices, to or through a market maker at market prices prevailing at the time of sale, at prices related to prevailing market prices, in block transactions, or as otherwise agreed upon by the Managers and the Company by any method permitted by law deemed to be an “at the market offering” as defined in Rule 415 promulgated under the Securities Act.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the sales of the ATM Shares through the Managers, as the Company’s sales agents, the Company will pay the Managers a commission at a mutually agreed rate, not to exceed, but which may be lower than, 2.0% of the gross sales price per Share. In addition, the Company has agreed to pay certain expenses incurred by the Managers in connection with the offering. The Company may also sell ATM Shares to one or more of the Managers as principal for such Manager’s own account at a price agreed upon at the time of sale. If the Company sells ATM Shares to one or more of the Managers as principal, the Company will enter into a separate terms agreement with such Manager. The Company has no obligation to sell any ATM Shares under the Equity Distribution Agreement, and may at any time suspend the offering of ATM Shares under the Equity Distribution Agreement.</w:t>
      </w:r>
    </w:p>
    <w:p>
      <w:pPr>
        <w:spacing w:after="0" w:line="16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Equity Distribution Agreement contains customary representations and warranties of the parties and indemnification and contribution provisions under which the Company and the Managers have agreed to indemnify each other against certain liabilities, including liabilities under the Securities Act.</w:t>
      </w:r>
    </w:p>
    <w:p>
      <w:pPr>
        <w:spacing w:after="0" w:line="124" w:lineRule="exact"/>
        <w:rPr>
          <w:sz w:val="20"/>
          <w:szCs w:val="20"/>
          <w:color w:val="auto"/>
        </w:rPr>
      </w:pPr>
    </w:p>
    <w:p>
      <w:pPr>
        <w:ind w:right="1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ATM Shares will be issued pursuant to the Company’s shelf registration statement on </w:t>
      </w:r>
      <w:hyperlink r:id="rId15">
        <w:r>
          <w:rPr>
            <w:rFonts w:ascii="Arial" w:cs="Arial" w:eastAsia="Arial" w:hAnsi="Arial"/>
            <w:sz w:val="18"/>
            <w:szCs w:val="18"/>
            <w:u w:val="single" w:color="auto"/>
            <w:color w:val="0000EE"/>
          </w:rPr>
          <w:t>Form S-3 (File No. 333-267147)</w:t>
        </w:r>
      </w:hyperlink>
      <w:r>
        <w:rPr>
          <w:rFonts w:ascii="Arial" w:cs="Arial" w:eastAsia="Arial" w:hAnsi="Arial"/>
          <w:sz w:val="18"/>
          <w:szCs w:val="18"/>
          <w:color w:val="auto"/>
        </w:rPr>
        <w:t>. The Company filed a prospectus supplement, dated November 8, 2022, with the Securities and Exchange Commission in connection with the offer and sale of the ATM Shares pursuant to the Equity Distribution Agreement.</w:t>
      </w:r>
    </w:p>
    <w:p>
      <w:pPr>
        <w:spacing w:after="0" w:line="18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foregoing description of the Equity Distribution Agreement is not complete and is qualified in its entirety by reference to the full text of such agreement, a copy of which is filed herewith as Exhibit 1.1 to this Current Report on Form 8-K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legal opinion of Davis Polk &amp; Wardwell LLP relating to the ATM Shares is filed as Exhibit 5.1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5"/>
          </w:tcPr>
          <w:p>
            <w:pPr>
              <w:ind w:left="1440"/>
              <w:spacing w:after="0"/>
              <w:rPr>
                <w:sz w:val="20"/>
                <w:szCs w:val="20"/>
                <w:color w:val="auto"/>
              </w:rPr>
            </w:pPr>
            <w:r>
              <w:rPr>
                <w:rFonts w:ascii="Arial" w:cs="Arial" w:eastAsia="Arial" w:hAnsi="Arial"/>
                <w:sz w:val="18"/>
                <w:szCs w:val="18"/>
                <w:color w:val="auto"/>
              </w:rPr>
              <w:t>Description</w:t>
            </w:r>
          </w:p>
        </w:tc>
      </w:tr>
      <w:tr>
        <w:trPr>
          <w:trHeight w:val="176"/>
        </w:trPr>
        <w:tc>
          <w:tcPr>
            <w:tcW w:w="32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1</w:t>
            </w: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8"/>
          </w:tcPr>
          <w:p>
            <w:pPr>
              <w:spacing w:after="0" w:line="176" w:lineRule="exact"/>
              <w:rPr>
                <w:sz w:val="20"/>
                <w:szCs w:val="20"/>
                <w:color w:val="auto"/>
              </w:rPr>
            </w:pPr>
            <w:r>
              <w:rPr>
                <w:rFonts w:ascii="Arial" w:cs="Arial" w:eastAsia="Arial" w:hAnsi="Arial"/>
                <w:sz w:val="18"/>
                <w:szCs w:val="18"/>
                <w:color w:val="0000EE"/>
                <w:w w:val="92"/>
              </w:rPr>
              <w:t>Equity Distribution Agreement, dated November 8, 2022, among Lucid Group, Inc., BofA Securities, Inc., Barclays Capital Inc. and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Citigroup Global Markets Inc.</w:t>
            </w:r>
          </w:p>
        </w:tc>
        <w:tc>
          <w:tcPr>
            <w:tcW w:w="736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gridSpan w:val="8"/>
          </w:tcPr>
          <w:p>
            <w:pPr>
              <w:spacing w:after="0" w:line="196" w:lineRule="exact"/>
              <w:rPr>
                <w:sz w:val="20"/>
                <w:szCs w:val="20"/>
                <w:color w:val="auto"/>
              </w:rPr>
            </w:pPr>
            <w:r>
              <w:rPr>
                <w:rFonts w:ascii="Arial" w:cs="Arial" w:eastAsia="Arial" w:hAnsi="Arial"/>
                <w:sz w:val="18"/>
                <w:szCs w:val="18"/>
                <w:color w:val="0000EE"/>
              </w:rPr>
              <w:t>Opinion of Davis Polk &amp; Wardwell LLP.</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gridSpan w:val="8"/>
          </w:tcPr>
          <w:p>
            <w:pPr>
              <w:spacing w:after="0" w:line="196" w:lineRule="exact"/>
              <w:rPr>
                <w:sz w:val="20"/>
                <w:szCs w:val="20"/>
                <w:color w:val="auto"/>
              </w:rPr>
            </w:pPr>
            <w:r>
              <w:rPr>
                <w:rFonts w:ascii="Arial" w:cs="Arial" w:eastAsia="Arial" w:hAnsi="Arial"/>
                <w:sz w:val="18"/>
                <w:szCs w:val="18"/>
                <w:color w:val="0000EE"/>
              </w:rPr>
              <w:t>Subscription Agreement, dated November 8, 2022, between Lucid Group, Inc. and Ayar Third Investment Company.</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gridSpan w:val="8"/>
          </w:tcPr>
          <w:p>
            <w:pPr>
              <w:spacing w:after="0" w:line="196" w:lineRule="exact"/>
              <w:rPr>
                <w:sz w:val="20"/>
                <w:szCs w:val="20"/>
                <w:color w:val="auto"/>
              </w:rPr>
            </w:pPr>
            <w:r>
              <w:rPr>
                <w:rFonts w:ascii="Arial" w:cs="Arial" w:eastAsia="Arial" w:hAnsi="Arial"/>
                <w:sz w:val="18"/>
                <w:szCs w:val="18"/>
                <w:color w:val="0000EE"/>
                <w:w w:val="93"/>
              </w:rPr>
              <w:t>Amendment No. 1 to the Investor Rights Agreement, dated November 8, 2022, between Lucid Group, Inc., Ayar Third Investment</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Company and the other parties thereto.</w:t>
            </w:r>
          </w:p>
        </w:tc>
        <w:tc>
          <w:tcPr>
            <w:tcW w:w="6580" w:type="dxa"/>
            <w:vAlign w:val="bottom"/>
            <w:tcBorders>
              <w:top w:val="single" w:sz="8" w:color="0000EE"/>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gridSpan w:val="8"/>
          </w:tcPr>
          <w:p>
            <w:pPr>
              <w:spacing w:after="0" w:line="196" w:lineRule="exact"/>
              <w:rPr>
                <w:sz w:val="20"/>
                <w:szCs w:val="20"/>
                <w:color w:val="auto"/>
              </w:rPr>
            </w:pPr>
            <w:r>
              <w:rPr>
                <w:rFonts w:ascii="Arial" w:cs="Arial" w:eastAsia="Arial" w:hAnsi="Arial"/>
                <w:sz w:val="18"/>
                <w:szCs w:val="18"/>
                <w:color w:val="0000EE"/>
              </w:rPr>
              <w:t>Consent of Davis Polk &amp; Wardwell LLP (included in Exhibit 5.1).</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r>
      <w:tr>
        <w:trPr>
          <w:trHeight w:val="237"/>
        </w:trPr>
        <w:tc>
          <w:tcPr>
            <w:tcW w:w="320" w:type="dxa"/>
            <w:vAlign w:val="bottom"/>
            <w:gridSpan w:val="3"/>
          </w:tcPr>
          <w:p>
            <w:pPr>
              <w:ind w:left="20"/>
              <w:spacing w:after="0"/>
              <w:rPr>
                <w:sz w:val="20"/>
                <w:szCs w:val="20"/>
                <w:color w:val="auto"/>
              </w:rPr>
            </w:pPr>
            <w:r>
              <w:rPr>
                <w:rFonts w:ascii="Arial" w:cs="Arial" w:eastAsia="Arial" w:hAnsi="Arial"/>
                <w:sz w:val="18"/>
                <w:szCs w:val="18"/>
                <w:color w:val="auto"/>
                <w:w w:val="93"/>
              </w:rPr>
              <w:t>104</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75"/>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Class A Common Stock, Par Value $0.0001 Per 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Having an Aggregate Offering Price of up to $600,000,000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Equity Distribution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Lucid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on the one hand, and BofA Securities, Inc. (“</w:t>
      </w:r>
      <w:r>
        <w:rPr>
          <w:rFonts w:ascii="Arial" w:cs="Arial" w:eastAsia="Arial" w:hAnsi="Arial"/>
          <w:sz w:val="18"/>
          <w:szCs w:val="18"/>
          <w:u w:val="single" w:color="auto"/>
          <w:color w:val="auto"/>
        </w:rPr>
        <w:t>BofA</w:t>
      </w:r>
      <w:r>
        <w:rPr>
          <w:rFonts w:ascii="Arial" w:cs="Arial" w:eastAsia="Arial" w:hAnsi="Arial"/>
          <w:sz w:val="18"/>
          <w:szCs w:val="18"/>
          <w:color w:val="auto"/>
        </w:rPr>
        <w:t>”), Barclays Capital Inc. (“</w:t>
      </w:r>
      <w:r>
        <w:rPr>
          <w:rFonts w:ascii="Arial" w:cs="Arial" w:eastAsia="Arial" w:hAnsi="Arial"/>
          <w:sz w:val="18"/>
          <w:szCs w:val="18"/>
          <w:u w:val="single" w:color="auto"/>
          <w:color w:val="auto"/>
        </w:rPr>
        <w:t>Barclays</w:t>
      </w:r>
      <w:r>
        <w:rPr>
          <w:rFonts w:ascii="Arial" w:cs="Arial" w:eastAsia="Arial" w:hAnsi="Arial"/>
          <w:sz w:val="18"/>
          <w:szCs w:val="18"/>
          <w:color w:val="auto"/>
        </w:rPr>
        <w:t>”) and Citigroup Global Markets Inc. (“</w:t>
      </w:r>
      <w:r>
        <w:rPr>
          <w:rFonts w:ascii="Arial" w:cs="Arial" w:eastAsia="Arial" w:hAnsi="Arial"/>
          <w:sz w:val="18"/>
          <w:szCs w:val="18"/>
          <w:u w:val="single" w:color="auto"/>
          <w:color w:val="auto"/>
        </w:rPr>
        <w:t>Citi</w:t>
      </w:r>
      <w:r>
        <w:rPr>
          <w:rFonts w:ascii="Arial" w:cs="Arial" w:eastAsia="Arial" w:hAnsi="Arial"/>
          <w:sz w:val="18"/>
          <w:szCs w:val="18"/>
          <w:color w:val="auto"/>
        </w:rPr>
        <w:t>”) (each, a “</w:t>
      </w:r>
      <w:r>
        <w:rPr>
          <w:rFonts w:ascii="Arial" w:cs="Arial" w:eastAsia="Arial" w:hAnsi="Arial"/>
          <w:sz w:val="18"/>
          <w:szCs w:val="18"/>
          <w:u w:val="single" w:color="auto"/>
          <w:color w:val="auto"/>
        </w:rPr>
        <w:t>Manager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Managers</w:t>
      </w:r>
      <w:r>
        <w:rPr>
          <w:rFonts w:ascii="Arial" w:cs="Arial" w:eastAsia="Arial" w:hAnsi="Arial"/>
          <w:sz w:val="18"/>
          <w:szCs w:val="18"/>
          <w:color w:val="auto"/>
        </w:rPr>
        <w:t>”), on the other hand.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1:       </w:t>
      </w:r>
      <w:r>
        <w:rPr>
          <w:rFonts w:ascii="Arial" w:cs="Arial" w:eastAsia="Arial" w:hAnsi="Arial"/>
          <w:sz w:val="17"/>
          <w:szCs w:val="17"/>
          <w:u w:val="single" w:color="auto"/>
          <w:color w:val="auto"/>
        </w:rPr>
        <w:t>  Description of Shares</w:t>
      </w:r>
      <w:r>
        <w:rPr>
          <w:rFonts w:ascii="Arial" w:cs="Arial" w:eastAsia="Arial" w:hAnsi="Arial"/>
          <w:sz w:val="17"/>
          <w:szCs w:val="17"/>
          <w:color w:val="auto"/>
        </w:rPr>
        <w:t>. From time to time during the term of this Agreement the Company may issue and sell through or to the Managers, as sales agents and/or principals, Shares (as defined below), having an aggregate offering price of up to $600,000,000 on the terms and subject to the conditions set forth herein. The Shares offered and sold pursuant to this Agreement shall be referred to herein as the “</w:t>
      </w:r>
      <w:r>
        <w:rPr>
          <w:rFonts w:ascii="Arial" w:cs="Arial" w:eastAsia="Arial" w:hAnsi="Arial"/>
          <w:sz w:val="17"/>
          <w:szCs w:val="17"/>
          <w:u w:val="single" w:color="auto"/>
          <w:color w:val="auto"/>
        </w:rPr>
        <w:t>Shares</w:t>
      </w:r>
      <w:r>
        <w:rPr>
          <w:rFonts w:ascii="Arial" w:cs="Arial" w:eastAsia="Arial" w:hAnsi="Arial"/>
          <w:sz w:val="17"/>
          <w:szCs w:val="17"/>
          <w:color w:val="auto"/>
        </w:rPr>
        <w:t>”. The shares of Class A common stock, par value $0.0001 per share, of the Company to be outstanding after giving effect to the sales contemplated hereby are hereinafter referred to as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Company agrees that, whenever the Company determines to sell Shares directly to any Manager as principal, it will enter into a separate agreement (each, a “</w:t>
      </w:r>
      <w:r>
        <w:rPr>
          <w:rFonts w:ascii="Arial" w:cs="Arial" w:eastAsia="Arial" w:hAnsi="Arial"/>
          <w:sz w:val="17"/>
          <w:szCs w:val="17"/>
          <w:u w:val="single" w:color="auto"/>
          <w:color w:val="auto"/>
        </w:rPr>
        <w:t>Terms Agreement</w:t>
      </w:r>
      <w:r>
        <w:rPr>
          <w:rFonts w:ascii="Arial" w:cs="Arial" w:eastAsia="Arial" w:hAnsi="Arial"/>
          <w:sz w:val="17"/>
          <w:szCs w:val="17"/>
          <w:color w:val="auto"/>
        </w:rPr>
        <w:t>”), in form and substance mutually satisfactory to the Company and such Manager, relating to such sale in accordance with Section 3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both"/>
        <w:ind w:firstLine="648"/>
        <w:spacing w:after="0" w:line="283" w:lineRule="auto"/>
        <w:rPr>
          <w:sz w:val="20"/>
          <w:szCs w:val="20"/>
          <w:color w:val="auto"/>
        </w:rPr>
      </w:pPr>
      <w:r>
        <w:rPr>
          <w:rFonts w:ascii="Arial" w:cs="Arial" w:eastAsia="Arial" w:hAnsi="Arial"/>
          <w:sz w:val="16"/>
          <w:szCs w:val="16"/>
          <w:color w:val="auto"/>
        </w:rPr>
        <w:t>The Company has filed not earlier than three years prior to the date hereof, or will file (the date of such filing, the “</w:t>
      </w:r>
      <w:r>
        <w:rPr>
          <w:rFonts w:ascii="Arial" w:cs="Arial" w:eastAsia="Arial" w:hAnsi="Arial"/>
          <w:sz w:val="16"/>
          <w:szCs w:val="16"/>
          <w:u w:val="single" w:color="auto"/>
          <w:color w:val="auto"/>
        </w:rPr>
        <w:t>Execution Date</w:t>
      </w:r>
      <w:r>
        <w:rPr>
          <w:rFonts w:ascii="Arial" w:cs="Arial" w:eastAsia="Arial" w:hAnsi="Arial"/>
          <w:sz w:val="16"/>
          <w:szCs w:val="16"/>
          <w:color w:val="auto"/>
        </w:rPr>
        <w:t>”), in accordance with the provisions of the Securities Act of 1933, as amended, and the rules and regulations thereunder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including a Base Prospectus (as defined below), which relates to Shares which may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or will prepare a Prospectus Supplement (as defined below) to the Base Prospectus which specifically relates to the Shares. Except where the context otherwise requires,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used herein, means the registration statement, including the Base Prospectus, as amended at the time of such registration statement’s effectiveness or deemed effectiveness for purposes of Section 11 of the Act, as such section applies to the Managers, including (1) all documents filed as a part thereof or incorporated or deemed to be incorporated by reference therein, and</w:t>
      </w:r>
    </w:p>
    <w:p>
      <w:pPr>
        <w:spacing w:after="0" w:line="6" w:lineRule="exact"/>
        <w:rPr>
          <w:sz w:val="20"/>
          <w:szCs w:val="20"/>
          <w:color w:val="auto"/>
        </w:rPr>
      </w:pPr>
    </w:p>
    <w:p>
      <w:pPr>
        <w:jc w:val="both"/>
        <w:ind w:firstLine="8"/>
        <w:spacing w:after="0" w:line="266"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information contained or incorporated by reference in a prospectus filed with the Commission pursuant to Rule 424(b) under the Act, to the extent such information is deemed, pursuant to Rule 430B or Rule 430C under the Act, to be part of the registration statement at the time of such registration statement’s effectiveness or deemed effectiveness for purposes of Section 11 of the Act, as such section applies to the Managers. Except where the context otherwise requires, “</w:t>
      </w:r>
      <w:r>
        <w:rPr>
          <w:rFonts w:ascii="Arial" w:cs="Arial" w:eastAsia="Arial" w:hAnsi="Arial"/>
          <w:sz w:val="17"/>
          <w:szCs w:val="17"/>
          <w:u w:val="single" w:color="auto"/>
          <w:color w:val="auto"/>
        </w:rPr>
        <w:t>Base Prospectus</w:t>
      </w:r>
      <w:r>
        <w:rPr>
          <w:rFonts w:ascii="Arial" w:cs="Arial" w:eastAsia="Arial" w:hAnsi="Arial"/>
          <w:sz w:val="17"/>
          <w:szCs w:val="17"/>
          <w:color w:val="auto"/>
        </w:rPr>
        <w:t>,” as used herein, means the prospectus filed as part of the Registration Statement, together with any amendments or supplements thereto as of the date of this Agreement. Except where the context otherwise requires,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as used herein, means the final prospectus supplement relating to the Shares, filed by the Company with the Commission pursuant to Rule 424(b) under the Act in connection with the offering of the Shares. Except where the context otherwise requires, “</w:t>
      </w:r>
      <w:r>
        <w:rPr>
          <w:rFonts w:ascii="Arial" w:cs="Arial" w:eastAsia="Arial" w:hAnsi="Arial"/>
          <w:sz w:val="17"/>
          <w:szCs w:val="17"/>
          <w:u w:val="single" w:color="auto"/>
          <w:color w:val="auto"/>
        </w:rPr>
        <w:t>Prospectus</w:t>
      </w:r>
      <w:r>
        <w:rPr>
          <w:rFonts w:ascii="Arial" w:cs="Arial" w:eastAsia="Arial" w:hAnsi="Arial"/>
          <w:sz w:val="17"/>
          <w:szCs w:val="17"/>
          <w:color w:val="auto"/>
        </w:rPr>
        <w:t>,” as used herein, means the Prospectus Supplement together with the Base Prospectus. Any reference herein to the Registration Statement, the Base Prospectus, the Prospectus Supplement or the Prospectus shall be deemed to refer to and include the documents incorporated or deemed to be incorporated by reference therein pursuant to Item 12 of Form S-3 under the Act as of the date of such document (the “</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Any reference herein to the terms “</w:t>
      </w:r>
      <w:r>
        <w:rPr>
          <w:rFonts w:ascii="Arial" w:cs="Arial" w:eastAsia="Arial" w:hAnsi="Arial"/>
          <w:sz w:val="17"/>
          <w:szCs w:val="17"/>
          <w:u w:val="single" w:color="auto"/>
          <w:color w:val="auto"/>
        </w:rPr>
        <w:t>amend,</w:t>
      </w:r>
      <w:r>
        <w:rPr>
          <w:rFonts w:ascii="Arial" w:cs="Arial" w:eastAsia="Arial" w:hAnsi="Arial"/>
          <w:sz w:val="17"/>
          <w:szCs w:val="17"/>
          <w:color w:val="auto"/>
        </w:rPr>
        <w:t>” “</w:t>
      </w:r>
      <w:r>
        <w:rPr>
          <w:rFonts w:ascii="Arial" w:cs="Arial" w:eastAsia="Arial" w:hAnsi="Arial"/>
          <w:sz w:val="17"/>
          <w:szCs w:val="17"/>
          <w:u w:val="single" w:color="auto"/>
          <w:color w:val="auto"/>
        </w:rPr>
        <w:t>amendment</w:t>
      </w:r>
      <w:r>
        <w:rPr>
          <w:rFonts w:ascii="Arial" w:cs="Arial" w:eastAsia="Arial" w:hAnsi="Arial"/>
          <w:sz w:val="17"/>
          <w:szCs w:val="17"/>
          <w:color w:val="auto"/>
        </w:rPr>
        <w:t>” or “</w:t>
      </w:r>
      <w:r>
        <w:rPr>
          <w:rFonts w:ascii="Arial" w:cs="Arial" w:eastAsia="Arial" w:hAnsi="Arial"/>
          <w:sz w:val="17"/>
          <w:szCs w:val="17"/>
          <w:u w:val="single" w:color="auto"/>
          <w:color w:val="auto"/>
        </w:rPr>
        <w:t>supplement</w:t>
      </w:r>
      <w:r>
        <w:rPr>
          <w:rFonts w:ascii="Arial" w:cs="Arial" w:eastAsia="Arial" w:hAnsi="Arial"/>
          <w:sz w:val="17"/>
          <w:szCs w:val="17"/>
          <w:color w:val="auto"/>
        </w:rPr>
        <w:t>” with respect to the Registration Statement, the Base Prospectus, the Prospectus Supplement or the Prospectus shall be deemed to refer to and include the filing on or after the initial effective date of the Registration Statement, or the date of the Base Prospectus, the Prospectus Supplement or the Prospectus, as the case may be,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w:t>
      </w:r>
      <w:r>
        <w:rPr>
          <w:rFonts w:ascii="Arial" w:cs="Arial" w:eastAsia="Arial" w:hAnsi="Arial"/>
          <w:sz w:val="17"/>
          <w:szCs w:val="17"/>
          <w:u w:val="single" w:color="auto"/>
          <w:color w:val="auto"/>
        </w:rPr>
        <w:t>EDGAR</w:t>
      </w:r>
      <w:r>
        <w:rPr>
          <w:rFonts w:ascii="Arial" w:cs="Arial" w:eastAsia="Arial" w:hAnsi="Arial"/>
          <w:sz w:val="17"/>
          <w:szCs w:val="17"/>
          <w:color w:val="auto"/>
        </w:rPr>
        <w:t>”) system. “</w:t>
      </w:r>
      <w:r>
        <w:rPr>
          <w:rFonts w:ascii="Arial" w:cs="Arial" w:eastAsia="Arial" w:hAnsi="Arial"/>
          <w:sz w:val="17"/>
          <w:szCs w:val="17"/>
          <w:u w:val="single" w:color="auto"/>
          <w:color w:val="auto"/>
        </w:rPr>
        <w:t>Execution Time</w:t>
      </w:r>
      <w:r>
        <w:rPr>
          <w:rFonts w:ascii="Arial" w:cs="Arial" w:eastAsia="Arial" w:hAnsi="Arial"/>
          <w:sz w:val="17"/>
          <w:szCs w:val="17"/>
          <w:color w:val="auto"/>
        </w:rPr>
        <w:t>” shall mean the date and time that this Agreement is executed and delivered by the parties hereto.</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Representations and Warranties of the Company</w:t>
      </w:r>
      <w:r>
        <w:rPr>
          <w:rFonts w:ascii="Arial" w:cs="Arial" w:eastAsia="Arial" w:hAnsi="Arial"/>
          <w:sz w:val="18"/>
          <w:szCs w:val="18"/>
          <w:color w:val="auto"/>
        </w:rPr>
        <w:t>. The Company represents and warrants to, and agrees with, each Manager on and as of (i) the Execution Time, (ii) each date on which the Company executes and delivers a Terms Agreement or (iii) the time any Authorized Representative (as defined in Section 3(a)) instructs any Manager to make sales of Shares as set forth in Section 3 hereof, (iv) the time of each sale of Shares pursuant to this Agreement, (v) each Settlement Date and (vi) each Bring-Down Delivery Date (as defined in Section 4(n)) (each such date listed in (ii) through (vi),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 that:</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(a)</w:t>
      </w:r>
      <w:r>
        <w:rPr>
          <w:rFonts w:ascii="Arial" w:cs="Arial" w:eastAsia="Arial" w:hAnsi="Arial"/>
          <w:sz w:val="18"/>
          <w:szCs w:val="18"/>
          <w:color w:val="000000"/>
        </w:rPr>
        <w:t>            </w:t>
      </w:r>
      <w:r>
        <w:rPr>
          <w:rFonts w:ascii="Arial" w:cs="Arial" w:eastAsia="Arial" w:hAnsi="Arial"/>
          <w:sz w:val="18"/>
          <w:szCs w:val="18"/>
          <w:i w:val="1"/>
          <w:iCs w:val="1"/>
          <w:color w:val="000000"/>
        </w:rPr>
        <w:t>Registration.</w:t>
      </w:r>
      <w:r>
        <w:rPr>
          <w:rFonts w:ascii="Arial" w:cs="Arial" w:eastAsia="Arial" w:hAnsi="Arial"/>
          <w:sz w:val="18"/>
          <w:szCs w:val="18"/>
          <w:color w:val="010000"/>
        </w:rPr>
        <w:t xml:space="preserve"> </w:t>
      </w:r>
      <w:r>
        <w:rPr>
          <w:rFonts w:ascii="Arial" w:cs="Arial" w:eastAsia="Arial" w:hAnsi="Arial"/>
          <w:sz w:val="18"/>
          <w:szCs w:val="18"/>
          <w:color w:val="000000"/>
        </w:rPr>
        <w:t>The Company satisfies the conditions for the use of Form S-3 in connection with the offer and sale of the Shares as</w:t>
      </w:r>
      <w:r>
        <w:rPr>
          <w:rFonts w:ascii="Arial" w:cs="Arial" w:eastAsia="Arial" w:hAnsi="Arial"/>
          <w:sz w:val="18"/>
          <w:szCs w:val="18"/>
          <w:color w:val="010000"/>
        </w:rPr>
        <w:t xml:space="preserve"> </w:t>
      </w:r>
      <w:r>
        <w:rPr>
          <w:rFonts w:ascii="Arial" w:cs="Arial" w:eastAsia="Arial" w:hAnsi="Arial"/>
          <w:sz w:val="18"/>
          <w:szCs w:val="18"/>
          <w:color w:val="000000"/>
        </w:rPr>
        <w:t>contemplated hereby. The Registration Statement has become effective, or will become effective prior to any Representation Date. The Registration Statement at each Representation Date, and at all times during which a prospectus is required by the Act to be delivered (whether physically deemed to be delivered pursuant to Rule 153 or through compliance with Rule 172 or any similar rule) in connection with any offer or sale of Shares, meets the requirements set forth in Rule 415(a)(1)(x). Copies of such Registration Statement and each of the amendments thereto have been delivered by the Company to the Managers by means of the Commission’s EDGAR system.</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010000"/>
        </w:rPr>
        <w:t>(b)</w:t>
      </w:r>
      <w:r>
        <w:rPr>
          <w:rFonts w:ascii="Arial" w:cs="Arial" w:eastAsia="Arial" w:hAnsi="Arial"/>
          <w:sz w:val="16"/>
          <w:szCs w:val="16"/>
          <w:color w:val="000000"/>
        </w:rPr>
        <w:t>            </w:t>
      </w:r>
      <w:r>
        <w:rPr>
          <w:rFonts w:ascii="Arial" w:cs="Arial" w:eastAsia="Arial" w:hAnsi="Arial"/>
          <w:sz w:val="16"/>
          <w:szCs w:val="16"/>
          <w:i w:val="1"/>
          <w:iCs w:val="1"/>
          <w:color w:val="000000"/>
        </w:rPr>
        <w:t>No Stop Order.</w:t>
      </w:r>
      <w:r>
        <w:rPr>
          <w:rFonts w:ascii="Arial" w:cs="Arial" w:eastAsia="Arial" w:hAnsi="Arial"/>
          <w:sz w:val="16"/>
          <w:szCs w:val="16"/>
          <w:color w:val="010000"/>
        </w:rPr>
        <w:t xml:space="preserve"> </w:t>
      </w:r>
      <w:r>
        <w:rPr>
          <w:rFonts w:ascii="Arial" w:cs="Arial" w:eastAsia="Arial" w:hAnsi="Arial"/>
          <w:sz w:val="16"/>
          <w:szCs w:val="16"/>
          <w:color w:val="000000"/>
        </w:rPr>
        <w:t>No stop order suspending the effectiveness of the Registration Statement, any post-effective amendment thereto or</w:t>
      </w:r>
      <w:r>
        <w:rPr>
          <w:rFonts w:ascii="Arial" w:cs="Arial" w:eastAsia="Arial" w:hAnsi="Arial"/>
          <w:sz w:val="16"/>
          <w:szCs w:val="16"/>
          <w:color w:val="010000"/>
        </w:rPr>
        <w:t xml:space="preserve"> </w:t>
      </w:r>
      <w:r>
        <w:rPr>
          <w:rFonts w:ascii="Arial" w:cs="Arial" w:eastAsia="Arial" w:hAnsi="Arial"/>
          <w:sz w:val="16"/>
          <w:szCs w:val="16"/>
          <w:color w:val="000000"/>
        </w:rPr>
        <w:t>the Rule 462(b) Registration Statement, if any, is in effect, and no proceedings for such purpose or pursuant to Section 8A of the Act are pending before or, to the knowledge of the Company, threatened by the Commission. The Commission has not issued any order preventing or suspending the use of any Prospectus Supplement and no proceeding for that purpose has been initiated or, to the knowledge of the Company, threatened by the Commission.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87" w:lineRule="auto"/>
        <w:rPr>
          <w:sz w:val="20"/>
          <w:szCs w:val="20"/>
          <w:color w:val="auto"/>
        </w:rPr>
      </w:pPr>
      <w:r>
        <w:rPr>
          <w:rFonts w:ascii="Arial" w:cs="Arial" w:eastAsia="Arial" w:hAnsi="Arial"/>
          <w:sz w:val="16"/>
          <w:szCs w:val="16"/>
          <w:color w:val="010000"/>
        </w:rPr>
        <w:t>(c)</w:t>
      </w:r>
      <w:r>
        <w:rPr>
          <w:rFonts w:ascii="Arial" w:cs="Arial" w:eastAsia="Arial" w:hAnsi="Arial"/>
          <w:sz w:val="16"/>
          <w:szCs w:val="16"/>
          <w:color w:val="000000"/>
        </w:rPr>
        <w:t>            </w:t>
      </w:r>
      <w:r>
        <w:rPr>
          <w:rFonts w:ascii="Arial" w:cs="Arial" w:eastAsia="Arial" w:hAnsi="Arial"/>
          <w:sz w:val="16"/>
          <w:szCs w:val="16"/>
          <w:i w:val="1"/>
          <w:iCs w:val="1"/>
          <w:color w:val="000000"/>
        </w:rPr>
        <w:t>Registration Statement and Prospectus Conform to the Requirements of the Act</w:t>
      </w:r>
      <w:r>
        <w:rPr>
          <w:rFonts w:ascii="Arial" w:cs="Arial" w:eastAsia="Arial" w:hAnsi="Arial"/>
          <w:sz w:val="16"/>
          <w:szCs w:val="16"/>
          <w:color w:val="000000"/>
        </w:rPr>
        <w:t>. On the date it became effective, the Registration</w:t>
      </w:r>
      <w:r>
        <w:rPr>
          <w:rFonts w:ascii="Arial" w:cs="Arial" w:eastAsia="Arial" w:hAnsi="Arial"/>
          <w:sz w:val="16"/>
          <w:szCs w:val="16"/>
          <w:color w:val="010000"/>
        </w:rPr>
        <w:t xml:space="preserve"> </w:t>
      </w:r>
      <w:r>
        <w:rPr>
          <w:rFonts w:ascii="Arial" w:cs="Arial" w:eastAsia="Arial" w:hAnsi="Arial"/>
          <w:sz w:val="16"/>
          <w:szCs w:val="16"/>
          <w:color w:val="000000"/>
        </w:rPr>
        <w:t>Statement conformed, and, as then amended or supplemented, as of each Representation Date will conform, in all material respects, to the applicable requirements of the Act. When the Prospectus is first filed in accordance with Rule 424(b) and as of each Representation Date, the Prospectus, as amended or supplemented, will conform, in all material respects to the applicable requirements of the Act and, except to the extent the Managers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used most recently prior to the Execution Time) as the Company has advised you, prior to the Execution Time, will be included or made therein. The Company meets, and at the time the Registration Statement was originally declared effective the Company met, the applicable requirements of Form S-3 under the Act. The Securities have been and remain eligible for registration by the Company on the Registration Statement. The documents incorporated by reference into the Registration Statement and the Prospectus, when they were filed (or, if any amendment with respect to any such document was filed, when such amendment was filed), conformed in all material respects with the requirements of the Exchange Act; and any further such documents incorporated by reference will, when they are filed, conform in all material respects with the requirements of the Exchange Act.</w:t>
      </w:r>
    </w:p>
    <w:p>
      <w:pPr>
        <w:spacing w:after="0" w:line="16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(d)</w:t>
      </w:r>
      <w:r>
        <w:rPr>
          <w:rFonts w:ascii="Arial" w:cs="Arial" w:eastAsia="Arial" w:hAnsi="Arial"/>
          <w:sz w:val="18"/>
          <w:szCs w:val="18"/>
          <w:color w:val="000000"/>
        </w:rPr>
        <w:t>            </w:t>
      </w:r>
      <w:r>
        <w:rPr>
          <w:rFonts w:ascii="Arial" w:cs="Arial" w:eastAsia="Arial" w:hAnsi="Arial"/>
          <w:sz w:val="18"/>
          <w:szCs w:val="18"/>
          <w:i w:val="1"/>
          <w:iCs w:val="1"/>
          <w:color w:val="000000"/>
        </w:rPr>
        <w:t>Ineligible Issuer</w:t>
      </w:r>
      <w:r>
        <w:rPr>
          <w:rFonts w:ascii="Arial" w:cs="Arial" w:eastAsia="Arial" w:hAnsi="Arial"/>
          <w:sz w:val="18"/>
          <w:szCs w:val="18"/>
          <w:color w:val="000000"/>
        </w:rPr>
        <w:t>. The Company is an “ineligible issuer” in connection with the offering pursuant to Rules 164, 405 and 433 under</w:t>
      </w:r>
      <w:r>
        <w:rPr>
          <w:rFonts w:ascii="Arial" w:cs="Arial" w:eastAsia="Arial" w:hAnsi="Arial"/>
          <w:sz w:val="18"/>
          <w:szCs w:val="18"/>
          <w:color w:val="010000"/>
        </w:rPr>
        <w:t xml:space="preserve"> </w:t>
      </w:r>
      <w:r>
        <w:rPr>
          <w:rFonts w:ascii="Arial" w:cs="Arial" w:eastAsia="Arial" w:hAnsi="Arial"/>
          <w:sz w:val="18"/>
          <w:szCs w:val="18"/>
          <w:color w:val="000000"/>
        </w:rPr>
        <w:t>the Act. The Company has not, directly or indirectly, offered or sold any Shares by means of any “prospectus” (within the meaning of the Act) or used any “prospectus” (within the meaning of the Act) in connection with the offer or sale of the Shares, in each case other than the Registration Statement; the Company has not, directly or indirectly, prepared, used or referred to, and will not, directly or indirectly, prepare, use or refer to, any Free Writing Prospectus, as such term is defined in Rule 405 under the Act, in connection with the offer and sale of the Shares; and the Company was and is an “ineligible issuer” (as defined in Rule 405 under the Act) as of the time of filing the Registration Statement and as of the time of each sale of the Shares in connection with the offering.</w:t>
      </w:r>
    </w:p>
    <w:p>
      <w:pPr>
        <w:spacing w:after="0" w:line="19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010000"/>
        </w:rPr>
        <w:t>(e)</w:t>
      </w:r>
      <w:r>
        <w:rPr>
          <w:rFonts w:ascii="Arial" w:cs="Arial" w:eastAsia="Arial" w:hAnsi="Arial"/>
          <w:sz w:val="17"/>
          <w:szCs w:val="17"/>
          <w:color w:val="000000"/>
        </w:rPr>
        <w:t>            </w:t>
      </w:r>
      <w:r>
        <w:rPr>
          <w:rFonts w:ascii="Arial" w:cs="Arial" w:eastAsia="Arial" w:hAnsi="Arial"/>
          <w:sz w:val="17"/>
          <w:szCs w:val="17"/>
          <w:i w:val="1"/>
          <w:iCs w:val="1"/>
          <w:color w:val="000000"/>
        </w:rPr>
        <w:t>No Material Misstatements or Omissions.</w:t>
      </w:r>
      <w:r>
        <w:rPr>
          <w:rFonts w:ascii="Arial" w:cs="Arial" w:eastAsia="Arial" w:hAnsi="Arial"/>
          <w:sz w:val="17"/>
          <w:szCs w:val="17"/>
          <w:color w:val="010000"/>
        </w:rPr>
        <w:t xml:space="preserve"> </w:t>
      </w:r>
      <w:r>
        <w:rPr>
          <w:rFonts w:ascii="Arial" w:cs="Arial" w:eastAsia="Arial" w:hAnsi="Arial"/>
          <w:sz w:val="17"/>
          <w:szCs w:val="17"/>
          <w:color w:val="000000"/>
        </w:rPr>
        <w:t>As of the date it became effective the Registration Statement did not, and does not and</w:t>
      </w:r>
      <w:r>
        <w:rPr>
          <w:rFonts w:ascii="Arial" w:cs="Arial" w:eastAsia="Arial" w:hAnsi="Arial"/>
          <w:sz w:val="17"/>
          <w:szCs w:val="17"/>
          <w:color w:val="010000"/>
        </w:rPr>
        <w:t xml:space="preserve"> </w:t>
      </w:r>
      <w:r>
        <w:rPr>
          <w:rFonts w:ascii="Arial" w:cs="Arial" w:eastAsia="Arial" w:hAnsi="Arial"/>
          <w:sz w:val="17"/>
          <w:szCs w:val="17"/>
          <w:color w:val="000000"/>
        </w:rPr>
        <w:t xml:space="preserve">will not, as then amended or supplemented, as of each Representation Date, contain an untrue statement of a material fact or omit to state a material fact required to be stated therein or necessary to make the statements therein not misleading; as of its date the Prospectus did not, and does not and will not, as then amended or supplemented, as of each Representation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the representations and warranties set forth in this Section 2(e) do not apply to statements or omissions in the Registration Statement, the Prospectus or any such amendment or supplement thereto in reliance upon and in conformity with written information furnished to the Company by or on behalf of any Manager expressly for use therein, it being understood and agreed that the only such information furnished to the Company by or on behalf of any Manager consists of the information described as such in Section 7 hereof.</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(f)</w:t>
      </w:r>
      <w:r>
        <w:rPr>
          <w:rFonts w:ascii="Arial" w:cs="Arial" w:eastAsia="Arial" w:hAnsi="Arial"/>
          <w:sz w:val="18"/>
          <w:szCs w:val="18"/>
          <w:color w:val="000000"/>
        </w:rPr>
        <w:t>            </w:t>
      </w:r>
      <w:r>
        <w:rPr>
          <w:rFonts w:ascii="Arial" w:cs="Arial" w:eastAsia="Arial" w:hAnsi="Arial"/>
          <w:sz w:val="18"/>
          <w:szCs w:val="18"/>
          <w:i w:val="1"/>
          <w:iCs w:val="1"/>
          <w:color w:val="000000"/>
        </w:rPr>
        <w:t>Independent Accountants</w:t>
      </w:r>
      <w:r>
        <w:rPr>
          <w:rFonts w:ascii="Arial" w:cs="Arial" w:eastAsia="Arial" w:hAnsi="Arial"/>
          <w:sz w:val="18"/>
          <w:szCs w:val="18"/>
          <w:color w:val="000000"/>
        </w:rPr>
        <w:t>. The accountants (the “</w:t>
      </w:r>
      <w:r>
        <w:rPr>
          <w:rFonts w:ascii="Arial" w:cs="Arial" w:eastAsia="Arial" w:hAnsi="Arial"/>
          <w:sz w:val="18"/>
          <w:szCs w:val="18"/>
          <w:u w:val="single" w:color="auto"/>
          <w:color w:val="000000"/>
        </w:rPr>
        <w:t>Accountants</w:t>
      </w:r>
      <w:r>
        <w:rPr>
          <w:rFonts w:ascii="Arial" w:cs="Arial" w:eastAsia="Arial" w:hAnsi="Arial"/>
          <w:sz w:val="18"/>
          <w:szCs w:val="18"/>
          <w:color w:val="000000"/>
        </w:rPr>
        <w:t>”) who certified the financial statements and supporting schedules</w:t>
      </w:r>
      <w:r>
        <w:rPr>
          <w:rFonts w:ascii="Arial" w:cs="Arial" w:eastAsia="Arial" w:hAnsi="Arial"/>
          <w:sz w:val="18"/>
          <w:szCs w:val="18"/>
          <w:color w:val="010000"/>
        </w:rPr>
        <w:t xml:space="preserve"> </w:t>
      </w:r>
      <w:r>
        <w:rPr>
          <w:rFonts w:ascii="Arial" w:cs="Arial" w:eastAsia="Arial" w:hAnsi="Arial"/>
          <w:sz w:val="18"/>
          <w:szCs w:val="18"/>
          <w:color w:val="000000"/>
        </w:rPr>
        <w:t>included in the Registration Statement and the Prospectus are independent public accountants as required by the Act, the Exchange Act and the Public Company Accounting Oversight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53" w:lineRule="auto"/>
        <w:rPr>
          <w:sz w:val="20"/>
          <w:szCs w:val="20"/>
          <w:color w:val="auto"/>
        </w:rPr>
      </w:pPr>
      <w:r>
        <w:rPr>
          <w:rFonts w:ascii="Arial" w:cs="Arial" w:eastAsia="Arial" w:hAnsi="Arial"/>
          <w:sz w:val="18"/>
          <w:szCs w:val="18"/>
          <w:color w:val="010000"/>
        </w:rPr>
        <w:t>(g)</w:t>
      </w:r>
      <w:r>
        <w:rPr>
          <w:rFonts w:ascii="Arial" w:cs="Arial" w:eastAsia="Arial" w:hAnsi="Arial"/>
          <w:sz w:val="18"/>
          <w:szCs w:val="18"/>
          <w:color w:val="000000"/>
        </w:rPr>
        <w:t>            </w:t>
      </w:r>
      <w:r>
        <w:rPr>
          <w:rFonts w:ascii="Arial" w:cs="Arial" w:eastAsia="Arial" w:hAnsi="Arial"/>
          <w:sz w:val="18"/>
          <w:szCs w:val="18"/>
          <w:i w:val="1"/>
          <w:iCs w:val="1"/>
          <w:color w:val="000000"/>
        </w:rPr>
        <w:t>Financial Statements</w:t>
      </w:r>
      <w:r>
        <w:rPr>
          <w:rFonts w:ascii="Arial" w:cs="Arial" w:eastAsia="Arial" w:hAnsi="Arial"/>
          <w:sz w:val="18"/>
          <w:szCs w:val="18"/>
          <w:color w:val="000000"/>
        </w:rPr>
        <w:t>. The financial statements included or incorporated by reference in the Registration Statement and the</w:t>
      </w:r>
      <w:r>
        <w:rPr>
          <w:rFonts w:ascii="Arial" w:cs="Arial" w:eastAsia="Arial" w:hAnsi="Arial"/>
          <w:sz w:val="18"/>
          <w:szCs w:val="18"/>
          <w:color w:val="010000"/>
        </w:rPr>
        <w:t xml:space="preserve"> </w:t>
      </w:r>
      <w:r>
        <w:rPr>
          <w:rFonts w:ascii="Arial" w:cs="Arial" w:eastAsia="Arial" w:hAnsi="Arial"/>
          <w:sz w:val="18"/>
          <w:szCs w:val="18"/>
          <w:color w:val="000000"/>
        </w:rPr>
        <w:t>Prospectus, as amended or supplemented as of the relevant Representation Date,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8"/>
          <w:szCs w:val="18"/>
          <w:u w:val="single" w:color="auto"/>
          <w:color w:val="000000"/>
        </w:rPr>
        <w:t>GAAP</w:t>
      </w:r>
      <w:r>
        <w:rPr>
          <w:rFonts w:ascii="Arial" w:cs="Arial" w:eastAsia="Arial" w:hAnsi="Arial"/>
          <w:sz w:val="18"/>
          <w:szCs w:val="18"/>
          <w:color w:val="000000"/>
        </w:rPr>
        <w:t>”) applied on a consistent basis throughout the periods involved. The supporting schedules, if any, present fairly, in all material respects, in accordance with GAAP the information required to be stated therein. The summary financial information included in the Registration Statement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or the Prospectus under the Act or the Exchange Act.</w:t>
      </w:r>
    </w:p>
    <w:p>
      <w:pPr>
        <w:spacing w:after="0" w:line="19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(h)</w:t>
      </w:r>
      <w:r>
        <w:rPr>
          <w:rFonts w:ascii="Arial" w:cs="Arial" w:eastAsia="Arial" w:hAnsi="Arial"/>
          <w:sz w:val="16"/>
          <w:szCs w:val="16"/>
          <w:color w:val="000000"/>
        </w:rPr>
        <w:t>            </w:t>
      </w:r>
      <w:r>
        <w:rPr>
          <w:rFonts w:ascii="Arial" w:cs="Arial" w:eastAsia="Arial" w:hAnsi="Arial"/>
          <w:sz w:val="16"/>
          <w:szCs w:val="16"/>
          <w:i w:val="1"/>
          <w:iCs w:val="1"/>
          <w:color w:val="000000"/>
        </w:rPr>
        <w:t>No Material Adverse Change in Business.</w:t>
      </w:r>
      <w:r>
        <w:rPr>
          <w:rFonts w:ascii="Arial" w:cs="Arial" w:eastAsia="Arial" w:hAnsi="Arial"/>
          <w:sz w:val="16"/>
          <w:szCs w:val="16"/>
          <w:color w:val="010000"/>
        </w:rPr>
        <w:t xml:space="preserve"> </w:t>
      </w:r>
      <w:r>
        <w:rPr>
          <w:rFonts w:ascii="Arial" w:cs="Arial" w:eastAsia="Arial" w:hAnsi="Arial"/>
          <w:sz w:val="16"/>
          <w:szCs w:val="16"/>
          <w:color w:val="000000"/>
        </w:rPr>
        <w:t>Except as otherwise stated therein, since the respective dates as of which information is</w:t>
      </w:r>
      <w:r>
        <w:rPr>
          <w:rFonts w:ascii="Arial" w:cs="Arial" w:eastAsia="Arial" w:hAnsi="Arial"/>
          <w:sz w:val="16"/>
          <w:szCs w:val="16"/>
          <w:color w:val="010000"/>
        </w:rPr>
        <w:t xml:space="preserve"> </w:t>
      </w:r>
      <w:r>
        <w:rPr>
          <w:rFonts w:ascii="Arial" w:cs="Arial" w:eastAsia="Arial" w:hAnsi="Arial"/>
          <w:sz w:val="16"/>
          <w:szCs w:val="16"/>
          <w:color w:val="000000"/>
        </w:rPr>
        <w:t>given in the Registration Statement and the Prospectus, as amended or supplemented as of the relevant Representation Date, (A) there has been no material adverse change or any development involving a prospective material adverse change in the condition, financial or otherwise, or in the earnings, business or management of the Company and its subsidiaries considered as one enterprise, whether or not arising in the ordinary course of business (a “</w:t>
      </w:r>
      <w:r>
        <w:rPr>
          <w:rFonts w:ascii="Arial" w:cs="Arial" w:eastAsia="Arial" w:hAnsi="Arial"/>
          <w:sz w:val="16"/>
          <w:szCs w:val="16"/>
          <w:u w:val="single" w:color="auto"/>
          <w:color w:val="000000"/>
        </w:rPr>
        <w:t>Material</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Adverse Effect</w:t>
      </w:r>
      <w:r>
        <w:rPr>
          <w:rFonts w:ascii="Arial" w:cs="Arial" w:eastAsia="Arial" w:hAnsi="Arial"/>
          <w:sz w:val="16"/>
          <w:szCs w:val="16"/>
          <w:color w:val="000000"/>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6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010000"/>
        </w:rPr>
        <w:t>(i)</w:t>
      </w:r>
      <w:r>
        <w:rPr>
          <w:rFonts w:ascii="Arial" w:cs="Arial" w:eastAsia="Arial" w:hAnsi="Arial"/>
          <w:sz w:val="17"/>
          <w:szCs w:val="17"/>
          <w:color w:val="000000"/>
        </w:rPr>
        <w:t>            </w:t>
      </w:r>
      <w:r>
        <w:rPr>
          <w:rFonts w:ascii="Arial" w:cs="Arial" w:eastAsia="Arial" w:hAnsi="Arial"/>
          <w:sz w:val="17"/>
          <w:szCs w:val="17"/>
          <w:i w:val="1"/>
          <w:iCs w:val="1"/>
          <w:color w:val="000000"/>
        </w:rPr>
        <w:t>Good Standing of the Company</w:t>
      </w:r>
      <w:r>
        <w:rPr>
          <w:rFonts w:ascii="Arial" w:cs="Arial" w:eastAsia="Arial" w:hAnsi="Arial"/>
          <w:sz w:val="17"/>
          <w:szCs w:val="17"/>
          <w:color w:val="000000"/>
        </w:rPr>
        <w:t>. The Company has been duly organized and is validly existing as a corporation in good standing</w:t>
      </w:r>
      <w:r>
        <w:rPr>
          <w:rFonts w:ascii="Arial" w:cs="Arial" w:eastAsia="Arial" w:hAnsi="Arial"/>
          <w:sz w:val="17"/>
          <w:szCs w:val="17"/>
          <w:color w:val="010000"/>
        </w:rPr>
        <w:t xml:space="preserve"> </w:t>
      </w:r>
      <w:r>
        <w:rPr>
          <w:rFonts w:ascii="Arial" w:cs="Arial" w:eastAsia="Arial" w:hAnsi="Arial"/>
          <w:sz w:val="17"/>
          <w:szCs w:val="17"/>
          <w:color w:val="000000"/>
        </w:rPr>
        <w:t>under the laws of the State of Delaware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7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(j)</w:t>
      </w:r>
      <w:r>
        <w:rPr>
          <w:rFonts w:ascii="Arial" w:cs="Arial" w:eastAsia="Arial" w:hAnsi="Arial"/>
          <w:sz w:val="17"/>
          <w:szCs w:val="17"/>
          <w:color w:val="000000"/>
        </w:rPr>
        <w:t>            </w:t>
      </w:r>
      <w:r>
        <w:rPr>
          <w:rFonts w:ascii="Arial" w:cs="Arial" w:eastAsia="Arial" w:hAnsi="Arial"/>
          <w:sz w:val="17"/>
          <w:szCs w:val="17"/>
          <w:i w:val="1"/>
          <w:iCs w:val="1"/>
          <w:color w:val="000000"/>
        </w:rPr>
        <w:t>Good Standing of Subsidiaries</w:t>
      </w:r>
      <w:r>
        <w:rPr>
          <w:rFonts w:ascii="Arial" w:cs="Arial" w:eastAsia="Arial" w:hAnsi="Arial"/>
          <w:sz w:val="17"/>
          <w:szCs w:val="17"/>
          <w:color w:val="000000"/>
        </w:rPr>
        <w:t>. Each “significant subsidiary” of the Company (as such term is defined in Rule 1-02 of Regulation</w:t>
      </w:r>
      <w:r>
        <w:rPr>
          <w:rFonts w:ascii="Arial" w:cs="Arial" w:eastAsia="Arial" w:hAnsi="Arial"/>
          <w:sz w:val="17"/>
          <w:szCs w:val="17"/>
          <w:color w:val="010000"/>
        </w:rPr>
        <w:t xml:space="preserve"> </w:t>
      </w:r>
      <w:r>
        <w:rPr>
          <w:rFonts w:ascii="Arial" w:cs="Arial" w:eastAsia="Arial" w:hAnsi="Arial"/>
          <w:sz w:val="17"/>
          <w:szCs w:val="17"/>
          <w:color w:val="000000"/>
        </w:rPr>
        <w:t>S-X) (each, a “</w:t>
      </w:r>
      <w:r>
        <w:rPr>
          <w:rFonts w:ascii="Arial" w:cs="Arial" w:eastAsia="Arial" w:hAnsi="Arial"/>
          <w:sz w:val="17"/>
          <w:szCs w:val="17"/>
          <w:u w:val="single" w:color="auto"/>
          <w:color w:val="000000"/>
        </w:rPr>
        <w:t>Subsidiary</w:t>
      </w:r>
      <w:r>
        <w:rPr>
          <w:rFonts w:ascii="Arial" w:cs="Arial" w:eastAsia="Arial" w:hAnsi="Arial"/>
          <w:sz w:val="17"/>
          <w:szCs w:val="17"/>
          <w:color w:val="000000"/>
        </w:rPr>
        <w:t>” and, collectively, the “</w:t>
      </w:r>
      <w:r>
        <w:rPr>
          <w:rFonts w:ascii="Arial" w:cs="Arial" w:eastAsia="Arial" w:hAnsi="Arial"/>
          <w:sz w:val="17"/>
          <w:szCs w:val="17"/>
          <w:u w:val="single" w:color="auto"/>
          <w:color w:val="000000"/>
        </w:rPr>
        <w:t>Subsidiaries</w:t>
      </w:r>
      <w:r>
        <w:rPr>
          <w:rFonts w:ascii="Arial" w:cs="Arial" w:eastAsia="Arial" w:hAnsi="Arial"/>
          <w:sz w:val="17"/>
          <w:szCs w:val="17"/>
          <w:color w:val="000000"/>
        </w:rPr>
        <w:t>”) has been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Prospectus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Company and the Subsidiaries are herein referred to collectively as the “</w:t>
      </w:r>
      <w:r>
        <w:rPr>
          <w:rFonts w:ascii="Arial" w:cs="Arial" w:eastAsia="Arial" w:hAnsi="Arial"/>
          <w:sz w:val="17"/>
          <w:szCs w:val="17"/>
          <w:u w:val="single" w:color="auto"/>
          <w:color w:val="000000"/>
        </w:rPr>
        <w:t>Company Parties</w:t>
      </w:r>
      <w:r>
        <w:rPr>
          <w:rFonts w:ascii="Arial" w:cs="Arial" w:eastAsia="Arial" w:hAnsi="Arial"/>
          <w:sz w:val="17"/>
          <w:szCs w:val="17"/>
          <w:color w:val="000000"/>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296"/>
        <w:spacing w:after="0" w:line="269" w:lineRule="auto"/>
        <w:rPr>
          <w:sz w:val="20"/>
          <w:szCs w:val="20"/>
          <w:color w:val="auto"/>
        </w:rPr>
      </w:pPr>
      <w:r>
        <w:rPr>
          <w:rFonts w:ascii="Arial" w:cs="Arial" w:eastAsia="Arial" w:hAnsi="Arial"/>
          <w:sz w:val="17"/>
          <w:szCs w:val="17"/>
          <w:color w:val="010000"/>
        </w:rPr>
        <w:t>(k)</w:t>
      </w:r>
      <w:r>
        <w:rPr>
          <w:rFonts w:ascii="Arial" w:cs="Arial" w:eastAsia="Arial" w:hAnsi="Arial"/>
          <w:sz w:val="17"/>
          <w:szCs w:val="17"/>
          <w:color w:val="000000"/>
        </w:rPr>
        <w:t>            </w:t>
      </w:r>
      <w:r>
        <w:rPr>
          <w:rFonts w:ascii="Arial" w:cs="Arial" w:eastAsia="Arial" w:hAnsi="Arial"/>
          <w:sz w:val="17"/>
          <w:szCs w:val="17"/>
          <w:i w:val="1"/>
          <w:iCs w:val="1"/>
          <w:color w:val="000000"/>
        </w:rPr>
        <w:t>Capitalization</w:t>
      </w:r>
      <w:r>
        <w:rPr>
          <w:rFonts w:ascii="Arial" w:cs="Arial" w:eastAsia="Arial" w:hAnsi="Arial"/>
          <w:sz w:val="17"/>
          <w:szCs w:val="17"/>
          <w:color w:val="000000"/>
        </w:rPr>
        <w:t>. The authorized capital stock of the Company conforms as to legal matters to the description thereof contained in</w:t>
      </w:r>
      <w:r>
        <w:rPr>
          <w:rFonts w:ascii="Arial" w:cs="Arial" w:eastAsia="Arial" w:hAnsi="Arial"/>
          <w:sz w:val="17"/>
          <w:szCs w:val="17"/>
          <w:color w:val="010000"/>
        </w:rPr>
        <w:t xml:space="preserve"> </w:t>
      </w:r>
      <w:r>
        <w:rPr>
          <w:rFonts w:ascii="Arial" w:cs="Arial" w:eastAsia="Arial" w:hAnsi="Arial"/>
          <w:sz w:val="17"/>
          <w:szCs w:val="17"/>
          <w:color w:val="000000"/>
        </w:rPr>
        <w:t>the Prospectus, as amended or supplemented as of the relevant Representation Date. All outstanding shares of capital stock of the Company have been duly authorized and validly issued in accordance with the Bylaws, fully paid and non-assessable and conform as to legal matters to the description thereof contained in or incorporated by reference into the Prospectus, as amended or supplemented as of the relevant Representation Date; and the stockholders of the Company have no preemptive rights with respect to the Shares. As of the date of the Company’s most recent Quarterly Report on Form 10-Q or an Annual Report on Form 10-K, except as disclosed in the Registration Statement and the Prospectus, as amended or supplemented as of the relevant Representation Date, neither the Company nor any of the Subsidiaries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and options and other rights to acquire capital stock have been issued in compliance with the registration and qualification provisions of all applicable securities laws and were not issued in violation of any preemptive rights, rights of first refusal or other similar rights.</w:t>
      </w:r>
    </w:p>
    <w:p>
      <w:pPr>
        <w:spacing w:after="0" w:line="18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(l)</w:t>
      </w:r>
      <w:r>
        <w:rPr>
          <w:rFonts w:ascii="Arial" w:cs="Arial" w:eastAsia="Arial" w:hAnsi="Arial"/>
          <w:sz w:val="18"/>
          <w:szCs w:val="18"/>
          <w:color w:val="000000"/>
        </w:rPr>
        <w:t>            </w:t>
      </w:r>
      <w:r>
        <w:rPr>
          <w:rFonts w:ascii="Arial" w:cs="Arial" w:eastAsia="Arial" w:hAnsi="Arial"/>
          <w:sz w:val="18"/>
          <w:szCs w:val="18"/>
          <w:i w:val="1"/>
          <w:iCs w:val="1"/>
          <w:color w:val="000000"/>
        </w:rPr>
        <w:t>Authorization of Agreement</w:t>
      </w:r>
      <w:r>
        <w:rPr>
          <w:rFonts w:ascii="Arial" w:cs="Arial" w:eastAsia="Arial" w:hAnsi="Arial"/>
          <w:sz w:val="18"/>
          <w:szCs w:val="18"/>
          <w:color w:val="000000"/>
        </w:rPr>
        <w:t>. This Agreement has been duly authorized, executed and delivered by the Company and is a valid and</w:t>
      </w:r>
      <w:r>
        <w:rPr>
          <w:rFonts w:ascii="Arial" w:cs="Arial" w:eastAsia="Arial" w:hAnsi="Arial"/>
          <w:sz w:val="18"/>
          <w:szCs w:val="18"/>
          <w:color w:val="010000"/>
        </w:rPr>
        <w:t xml:space="preserve"> </w:t>
      </w:r>
      <w:r>
        <w:rPr>
          <w:rFonts w:ascii="Arial" w:cs="Arial" w:eastAsia="Arial" w:hAnsi="Arial"/>
          <w:sz w:val="18"/>
          <w:szCs w:val="18"/>
          <w:color w:val="000000"/>
        </w:rPr>
        <w:t>binding agreement of the Company, enforceable against the Company in accordance with 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18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(m)</w:t>
      </w:r>
      <w:r>
        <w:rPr>
          <w:rFonts w:ascii="Arial" w:cs="Arial" w:eastAsia="Arial" w:hAnsi="Arial"/>
          <w:sz w:val="17"/>
          <w:szCs w:val="17"/>
          <w:color w:val="000000"/>
        </w:rPr>
        <w:t>            </w:t>
      </w:r>
      <w:r>
        <w:rPr>
          <w:rFonts w:ascii="Arial" w:cs="Arial" w:eastAsia="Arial" w:hAnsi="Arial"/>
          <w:sz w:val="17"/>
          <w:szCs w:val="17"/>
          <w:i w:val="1"/>
          <w:iCs w:val="1"/>
          <w:color w:val="000000"/>
        </w:rPr>
        <w:t>Shares.</w:t>
      </w:r>
      <w:r>
        <w:rPr>
          <w:rFonts w:ascii="Arial" w:cs="Arial" w:eastAsia="Arial" w:hAnsi="Arial"/>
          <w:sz w:val="17"/>
          <w:szCs w:val="17"/>
          <w:color w:val="010000"/>
        </w:rPr>
        <w:t xml:space="preserve"> </w:t>
      </w:r>
      <w:r>
        <w:rPr>
          <w:rFonts w:ascii="Arial" w:cs="Arial" w:eastAsia="Arial" w:hAnsi="Arial"/>
          <w:sz w:val="17"/>
          <w:szCs w:val="17"/>
          <w:color w:val="000000"/>
        </w:rPr>
        <w:t>The Shares to be offered by the Company hereunder have been duly authorized and when issued and delivered and paid</w:t>
      </w:r>
      <w:r>
        <w:rPr>
          <w:rFonts w:ascii="Arial" w:cs="Arial" w:eastAsia="Arial" w:hAnsi="Arial"/>
          <w:sz w:val="17"/>
          <w:szCs w:val="17"/>
          <w:color w:val="010000"/>
        </w:rPr>
        <w:t xml:space="preserve"> </w:t>
      </w:r>
      <w:r>
        <w:rPr>
          <w:rFonts w:ascii="Arial" w:cs="Arial" w:eastAsia="Arial" w:hAnsi="Arial"/>
          <w:sz w:val="17"/>
          <w:szCs w:val="17"/>
          <w:color w:val="000000"/>
        </w:rPr>
        <w:t>for as provided herein, will be duly and validly issued in accordance with the second amended and restated certificate of incorporation of the Company, as subsequently amended from time to time, and the amended and restated bylaws of the Company, as subsequently amended from time to time, and will be fully paid and non-assessable and will conform to the description thereof in the Registration Statement and the Prospectus; and no such issuance of Shares is subject to any statutory, preemptive or other similar contractual rights to subscribe for the Shares.</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(n)</w:t>
      </w:r>
      <w:r>
        <w:rPr>
          <w:rFonts w:ascii="Arial" w:cs="Arial" w:eastAsia="Arial" w:hAnsi="Arial"/>
          <w:sz w:val="18"/>
          <w:szCs w:val="18"/>
          <w:color w:val="000000"/>
        </w:rPr>
        <w:t>            </w:t>
      </w:r>
      <w:r>
        <w:rPr>
          <w:rFonts w:ascii="Arial" w:cs="Arial" w:eastAsia="Arial" w:hAnsi="Arial"/>
          <w:sz w:val="18"/>
          <w:szCs w:val="18"/>
          <w:i w:val="1"/>
          <w:iCs w:val="1"/>
          <w:color w:val="000000"/>
        </w:rPr>
        <w:t>Registration Rights</w:t>
      </w:r>
      <w:r>
        <w:rPr>
          <w:rFonts w:ascii="Arial" w:cs="Arial" w:eastAsia="Arial" w:hAnsi="Arial"/>
          <w:sz w:val="18"/>
          <w:szCs w:val="18"/>
          <w:color w:val="000000"/>
        </w:rPr>
        <w:t>. There are no persons with registration rights or other similar rights to have any securities of the Company</w:t>
      </w:r>
      <w:r>
        <w:rPr>
          <w:rFonts w:ascii="Arial" w:cs="Arial" w:eastAsia="Arial" w:hAnsi="Arial"/>
          <w:sz w:val="18"/>
          <w:szCs w:val="18"/>
          <w:color w:val="010000"/>
        </w:rPr>
        <w:t xml:space="preserve"> </w:t>
      </w:r>
      <w:r>
        <w:rPr>
          <w:rFonts w:ascii="Arial" w:cs="Arial" w:eastAsia="Arial" w:hAnsi="Arial"/>
          <w:sz w:val="18"/>
          <w:szCs w:val="18"/>
          <w:color w:val="000000"/>
        </w:rPr>
        <w:t>registered for sale or sold by the Company under the Act, other than those rights that have been disclosed in the Prospectus. No person has the right to include any securities in the Shares to be sold in the offering contemplated by this Agreement, except for any such right that has been complied with or duly waived.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296"/>
        <w:spacing w:after="0" w:line="285" w:lineRule="auto"/>
        <w:rPr>
          <w:sz w:val="20"/>
          <w:szCs w:val="20"/>
          <w:color w:val="auto"/>
        </w:rPr>
      </w:pPr>
      <w:r>
        <w:rPr>
          <w:rFonts w:ascii="Arial" w:cs="Arial" w:eastAsia="Arial" w:hAnsi="Arial"/>
          <w:sz w:val="16"/>
          <w:szCs w:val="16"/>
          <w:color w:val="010000"/>
        </w:rPr>
        <w:t>(o)</w:t>
      </w:r>
      <w:r>
        <w:rPr>
          <w:rFonts w:ascii="Arial" w:cs="Arial" w:eastAsia="Arial" w:hAnsi="Arial"/>
          <w:sz w:val="16"/>
          <w:szCs w:val="16"/>
          <w:color w:val="000000"/>
        </w:rPr>
        <w:t>            </w:t>
      </w:r>
      <w:r>
        <w:rPr>
          <w:rFonts w:ascii="Arial" w:cs="Arial" w:eastAsia="Arial" w:hAnsi="Arial"/>
          <w:sz w:val="16"/>
          <w:szCs w:val="16"/>
          <w:i w:val="1"/>
          <w:iCs w:val="1"/>
          <w:color w:val="000000"/>
        </w:rPr>
        <w:t>Absence of Violations, Defaults and Conflicts</w:t>
      </w:r>
      <w:r>
        <w:rPr>
          <w:rFonts w:ascii="Arial" w:cs="Arial" w:eastAsia="Arial" w:hAnsi="Arial"/>
          <w:sz w:val="16"/>
          <w:szCs w:val="16"/>
          <w:color w:val="000000"/>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Arial" w:cs="Arial" w:eastAsia="Arial" w:hAnsi="Arial"/>
          <w:sz w:val="16"/>
          <w:szCs w:val="16"/>
          <w:u w:val="single" w:color="auto"/>
          <w:color w:val="000000"/>
        </w:rPr>
        <w:t>Agreements and Instruments</w:t>
      </w:r>
      <w:r>
        <w:rPr>
          <w:rFonts w:ascii="Arial" w:cs="Arial" w:eastAsia="Arial" w:hAnsi="Arial"/>
          <w:sz w:val="16"/>
          <w:szCs w:val="16"/>
          <w:color w:val="000000"/>
        </w:rPr>
        <w:t>”), except for such defaults that would not, singly or in the aggregate, result in a Material Adverse Effect, or</w:t>
      </w:r>
    </w:p>
    <w:p>
      <w:pPr>
        <w:spacing w:after="0" w:line="2" w:lineRule="exact"/>
        <w:rPr>
          <w:sz w:val="20"/>
          <w:szCs w:val="20"/>
          <w:color w:val="auto"/>
        </w:rPr>
      </w:pPr>
    </w:p>
    <w:p>
      <w:pPr>
        <w:jc w:val="both"/>
        <w:ind w:firstLine="8"/>
        <w:spacing w:after="0" w:line="284" w:lineRule="auto"/>
        <w:tabs>
          <w:tab w:leader="none" w:pos="32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except for such violations that would not, singly or in the aggregate, result in a Material Adverse Effect. The execution, delivery and performance of this Agreement, the issuance and sale of the Shares by the Company through the Managers and the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(i) the charter, by-laws or similar organizational document of the Company or any of its subsidiaries or (ii) any law, statute, rule, regulation, judgment, order, writ or decree of any Governmental Entity, except, with respect to clause (ii), such violations as would not reasonably be expected to, singly or in the aggregate, result in a Material Adverse Effect.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prior to its stated maturity, by the Company or any of its subsidiaries.</w:t>
      </w:r>
    </w:p>
    <w:p>
      <w:pPr>
        <w:spacing w:after="0" w:line="17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(p)</w:t>
      </w:r>
      <w:r>
        <w:rPr>
          <w:rFonts w:ascii="Arial" w:cs="Arial" w:eastAsia="Arial" w:hAnsi="Arial"/>
          <w:sz w:val="17"/>
          <w:szCs w:val="17"/>
          <w:color w:val="000000"/>
        </w:rPr>
        <w:t>            </w:t>
      </w:r>
      <w:r>
        <w:rPr>
          <w:rFonts w:ascii="Arial" w:cs="Arial" w:eastAsia="Arial" w:hAnsi="Arial"/>
          <w:sz w:val="17"/>
          <w:szCs w:val="17"/>
          <w:i w:val="1"/>
          <w:iCs w:val="1"/>
          <w:color w:val="000000"/>
        </w:rPr>
        <w:t>Absence of Labor Dispute</w:t>
      </w:r>
      <w:r>
        <w:rPr>
          <w:rFonts w:ascii="Arial" w:cs="Arial" w:eastAsia="Arial" w:hAnsi="Arial"/>
          <w:sz w:val="17"/>
          <w:szCs w:val="17"/>
          <w:color w:val="000000"/>
        </w:rPr>
        <w:t>. No labor dispute with the employees of the Company or any of its subsidiaries exists or, to the</w:t>
      </w:r>
      <w:r>
        <w:rPr>
          <w:rFonts w:ascii="Arial" w:cs="Arial" w:eastAsia="Arial" w:hAnsi="Arial"/>
          <w:sz w:val="17"/>
          <w:szCs w:val="17"/>
          <w:color w:val="010000"/>
        </w:rPr>
        <w:t xml:space="preserve"> </w:t>
      </w:r>
      <w:r>
        <w:rPr>
          <w:rFonts w:ascii="Arial" w:cs="Arial" w:eastAsia="Arial" w:hAnsi="Arial"/>
          <w:sz w:val="17"/>
          <w:szCs w:val="17"/>
          <w:color w:val="000000"/>
        </w:rPr>
        <w:t>knowledge of the Company, is imminent, and the Company is not aware of any existing or imminent labor disturbance by the employees of any of its or any subsidiary’s principal suppliers, manufacturers, customers or contractors, which, in either case, would result in a Material Adverse Effect.</w:t>
      </w:r>
    </w:p>
    <w:p>
      <w:pPr>
        <w:spacing w:after="0" w:line="16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(q)</w:t>
      </w:r>
      <w:r>
        <w:rPr>
          <w:rFonts w:ascii="Arial" w:cs="Arial" w:eastAsia="Arial" w:hAnsi="Arial"/>
          <w:sz w:val="16"/>
          <w:szCs w:val="16"/>
          <w:color w:val="000000"/>
        </w:rPr>
        <w:t>            </w:t>
      </w:r>
      <w:r>
        <w:rPr>
          <w:rFonts w:ascii="Arial" w:cs="Arial" w:eastAsia="Arial" w:hAnsi="Arial"/>
          <w:sz w:val="16"/>
          <w:szCs w:val="16"/>
          <w:i w:val="1"/>
          <w:iCs w:val="1"/>
          <w:color w:val="000000"/>
        </w:rPr>
        <w:t>Absence of Proceedings</w:t>
      </w:r>
      <w:r>
        <w:rPr>
          <w:rFonts w:ascii="Arial" w:cs="Arial" w:eastAsia="Arial" w:hAnsi="Arial"/>
          <w:sz w:val="16"/>
          <w:szCs w:val="16"/>
          <w:color w:val="000000"/>
        </w:rPr>
        <w:t>. Except as disclosed in the Registration Statement and the Prospectus, as amended or supplemented as of</w:t>
      </w:r>
      <w:r>
        <w:rPr>
          <w:rFonts w:ascii="Arial" w:cs="Arial" w:eastAsia="Arial" w:hAnsi="Arial"/>
          <w:sz w:val="16"/>
          <w:szCs w:val="16"/>
          <w:color w:val="010000"/>
        </w:rPr>
        <w:t xml:space="preserve"> </w:t>
      </w:r>
      <w:r>
        <w:rPr>
          <w:rFonts w:ascii="Arial" w:cs="Arial" w:eastAsia="Arial" w:hAnsi="Arial"/>
          <w:sz w:val="16"/>
          <w:szCs w:val="16"/>
          <w:color w:val="000000"/>
        </w:rPr>
        <w:t>the relevant Representation Date, there is no action, suit, proceeding, inquiry or investigation before or brought by any Governmental Entity now pending or, to the knowledge of the Company, threatened, against or affecting the Company or any of its subsidiaries, which might result in a Material Adverse Effect, or which might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and the Prospectus, including ordinary routine litigation incidental to the business, could not result in a Material Adverse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296"/>
        <w:spacing w:after="0" w:line="255" w:lineRule="auto"/>
        <w:rPr>
          <w:sz w:val="20"/>
          <w:szCs w:val="20"/>
          <w:color w:val="auto"/>
        </w:rPr>
      </w:pPr>
      <w:r>
        <w:rPr>
          <w:rFonts w:ascii="Arial" w:cs="Arial" w:eastAsia="Arial" w:hAnsi="Arial"/>
          <w:sz w:val="18"/>
          <w:szCs w:val="18"/>
          <w:color w:val="010000"/>
        </w:rPr>
        <w:t>(r)</w:t>
      </w:r>
      <w:r>
        <w:rPr>
          <w:rFonts w:ascii="Arial" w:cs="Arial" w:eastAsia="Arial" w:hAnsi="Arial"/>
          <w:sz w:val="18"/>
          <w:szCs w:val="18"/>
          <w:color w:val="000000"/>
        </w:rPr>
        <w:t>            </w:t>
      </w:r>
      <w:r>
        <w:rPr>
          <w:rFonts w:ascii="Arial" w:cs="Arial" w:eastAsia="Arial" w:hAnsi="Arial"/>
          <w:sz w:val="18"/>
          <w:szCs w:val="18"/>
          <w:i w:val="1"/>
          <w:iCs w:val="1"/>
          <w:color w:val="000000"/>
        </w:rPr>
        <w:t>Absence of Further Requirements</w:t>
      </w:r>
      <w:r>
        <w:rPr>
          <w:rFonts w:ascii="Arial" w:cs="Arial" w:eastAsia="Arial" w:hAnsi="Arial"/>
          <w:sz w:val="18"/>
          <w:szCs w:val="18"/>
          <w:color w:val="000000"/>
        </w:rPr>
        <w:t>. No filing with, or authorization, approval, consent, license, order, registration, qualification or</w:t>
      </w:r>
      <w:r>
        <w:rPr>
          <w:rFonts w:ascii="Arial" w:cs="Arial" w:eastAsia="Arial" w:hAnsi="Arial"/>
          <w:sz w:val="18"/>
          <w:szCs w:val="18"/>
          <w:color w:val="010000"/>
        </w:rPr>
        <w:t xml:space="preserve"> </w:t>
      </w:r>
      <w:r>
        <w:rPr>
          <w:rFonts w:ascii="Arial" w:cs="Arial" w:eastAsia="Arial" w:hAnsi="Arial"/>
          <w:sz w:val="18"/>
          <w:szCs w:val="18"/>
          <w:color w:val="000000"/>
        </w:rPr>
        <w:t>decree of, any Governmental Entity is necessary or required for the performance by the Company of its obligations hereunder, in connection with the offering, issuance or sale of the Shares hereunder or the consummation of the transactions contemplated hereby, except (x) such as have been obtained and made under the Act or the Exchange Act or (y) such consents, approvals, authorizations, orders and registrations or qualifications (A) as may be obtained under applicable securities or blue-sky laws of any state or foreign jurisdiction in connection with the sale of the Shares by the Managers (B) as have been obtained prior to the date herewith.</w:t>
      </w:r>
    </w:p>
    <w:p>
      <w:pPr>
        <w:spacing w:after="0" w:line="19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(s)</w:t>
      </w:r>
      <w:r>
        <w:rPr>
          <w:rFonts w:ascii="Arial" w:cs="Arial" w:eastAsia="Arial" w:hAnsi="Arial"/>
          <w:sz w:val="18"/>
          <w:szCs w:val="18"/>
          <w:color w:val="000000"/>
        </w:rPr>
        <w:t>            </w:t>
      </w:r>
      <w:r>
        <w:rPr>
          <w:rFonts w:ascii="Arial" w:cs="Arial" w:eastAsia="Arial" w:hAnsi="Arial"/>
          <w:sz w:val="18"/>
          <w:szCs w:val="18"/>
          <w:i w:val="1"/>
          <w:iCs w:val="1"/>
          <w:color w:val="000000"/>
        </w:rPr>
        <w:t>Possession of Licenses and Permits</w:t>
      </w:r>
      <w:r>
        <w:rPr>
          <w:rFonts w:ascii="Arial" w:cs="Arial" w:eastAsia="Arial" w:hAnsi="Arial"/>
          <w:sz w:val="18"/>
          <w:szCs w:val="18"/>
          <w:color w:val="000000"/>
        </w:rPr>
        <w:t>. The Company and its subsidiaries possess such permits, licenses, approvals, consents and</w:t>
      </w:r>
      <w:r>
        <w:rPr>
          <w:rFonts w:ascii="Arial" w:cs="Arial" w:eastAsia="Arial" w:hAnsi="Arial"/>
          <w:sz w:val="18"/>
          <w:szCs w:val="18"/>
          <w:color w:val="010000"/>
        </w:rPr>
        <w:t xml:space="preserve"> </w:t>
      </w:r>
      <w:r>
        <w:rPr>
          <w:rFonts w:ascii="Arial" w:cs="Arial" w:eastAsia="Arial" w:hAnsi="Arial"/>
          <w:sz w:val="18"/>
          <w:szCs w:val="18"/>
          <w:color w:val="000000"/>
        </w:rPr>
        <w:t>other authorizations (collectively, “</w:t>
      </w:r>
      <w:r>
        <w:rPr>
          <w:rFonts w:ascii="Arial" w:cs="Arial" w:eastAsia="Arial" w:hAnsi="Arial"/>
          <w:sz w:val="18"/>
          <w:szCs w:val="18"/>
          <w:u w:val="single" w:color="auto"/>
          <w:color w:val="000000"/>
        </w:rPr>
        <w:t>Governmental Licenses</w:t>
      </w:r>
      <w:r>
        <w:rPr>
          <w:rFonts w:ascii="Arial" w:cs="Arial" w:eastAsia="Arial" w:hAnsi="Arial"/>
          <w:sz w:val="18"/>
          <w:szCs w:val="18"/>
          <w:color w:val="000000"/>
        </w:rPr>
        <w:t>”)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written notice of proceedings relating to the revocation or modification of any Governmental Licenses which, singly or in the aggregate, if the subject of an unfavorable decision, ruling or finding, would result in a Material Adverse Effect.</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(t)</w:t>
      </w:r>
      <w:r>
        <w:rPr>
          <w:rFonts w:ascii="Arial" w:cs="Arial" w:eastAsia="Arial" w:hAnsi="Arial"/>
          <w:sz w:val="17"/>
          <w:szCs w:val="17"/>
          <w:color w:val="000000"/>
        </w:rPr>
        <w:t>            </w:t>
      </w:r>
      <w:r>
        <w:rPr>
          <w:rFonts w:ascii="Arial" w:cs="Arial" w:eastAsia="Arial" w:hAnsi="Arial"/>
          <w:sz w:val="17"/>
          <w:szCs w:val="17"/>
          <w:i w:val="1"/>
          <w:iCs w:val="1"/>
          <w:color w:val="000000"/>
        </w:rPr>
        <w:t>Title to Property</w:t>
      </w:r>
      <w:r>
        <w:rPr>
          <w:rFonts w:ascii="Arial" w:cs="Arial" w:eastAsia="Arial" w:hAnsi="Arial"/>
          <w:sz w:val="17"/>
          <w:szCs w:val="17"/>
          <w:color w:val="000000"/>
        </w:rPr>
        <w:t>. The Company and its subsidiaries have good and marketable title to all real property owned by them and good</w:t>
      </w:r>
      <w:r>
        <w:rPr>
          <w:rFonts w:ascii="Arial" w:cs="Arial" w:eastAsia="Arial" w:hAnsi="Arial"/>
          <w:sz w:val="17"/>
          <w:szCs w:val="17"/>
          <w:color w:val="010000"/>
        </w:rPr>
        <w:t xml:space="preserve"> </w:t>
      </w:r>
      <w:r>
        <w:rPr>
          <w:rFonts w:ascii="Arial" w:cs="Arial" w:eastAsia="Arial" w:hAnsi="Arial"/>
          <w:sz w:val="17"/>
          <w:szCs w:val="17"/>
          <w:color w:val="000000"/>
        </w:rPr>
        <w:t>title to all other properties owned by them, in each case, free and clear of all mortgages, pledges, liens, security interests, claims, restrictions or encumbrances of any kind except such as (A) are described in the Registration Statement and the Prospectus, as amended as of the relevant Representation Date or (B)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and the Prospectus, as amended as of the relevant Representation Date, are in full force and effect, and neither the Company nor any such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that would, singly or in the aggregate, be material to the Company and its subsidiaries, taken as a whole.</w:t>
      </w:r>
    </w:p>
    <w:p>
      <w:pPr>
        <w:spacing w:after="0" w:line="18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(u)</w:t>
      </w:r>
      <w:r>
        <w:rPr>
          <w:rFonts w:ascii="Arial" w:cs="Arial" w:eastAsia="Arial" w:hAnsi="Arial"/>
          <w:sz w:val="16"/>
          <w:szCs w:val="16"/>
          <w:color w:val="000000"/>
        </w:rPr>
        <w:t>            </w:t>
      </w:r>
      <w:r>
        <w:rPr>
          <w:rFonts w:ascii="Arial" w:cs="Arial" w:eastAsia="Arial" w:hAnsi="Arial"/>
          <w:sz w:val="16"/>
          <w:szCs w:val="16"/>
          <w:i w:val="1"/>
          <w:iCs w:val="1"/>
          <w:color w:val="000000"/>
        </w:rPr>
        <w:t>Possession of Intellectual Property</w:t>
      </w:r>
      <w:r>
        <w:rPr>
          <w:rFonts w:ascii="Arial" w:cs="Arial" w:eastAsia="Arial" w:hAnsi="Arial"/>
          <w:sz w:val="16"/>
          <w:szCs w:val="16"/>
          <w:color w:val="000000"/>
        </w:rPr>
        <w:t>. Except as would not, singly or in the aggregate, result in a Material Adverse Effect, (A) the</w:t>
      </w:r>
      <w:r>
        <w:rPr>
          <w:rFonts w:ascii="Arial" w:cs="Arial" w:eastAsia="Arial" w:hAnsi="Arial"/>
          <w:sz w:val="16"/>
          <w:szCs w:val="16"/>
          <w:color w:val="010000"/>
        </w:rPr>
        <w:t xml:space="preserve"> </w:t>
      </w:r>
      <w:r>
        <w:rPr>
          <w:rFonts w:ascii="Arial" w:cs="Arial" w:eastAsia="Arial" w:hAnsi="Arial"/>
          <w:sz w:val="16"/>
          <w:szCs w:val="16"/>
          <w:color w:val="000000"/>
        </w:rPr>
        <w:t>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necessary to carry on the business now operated by them and</w:t>
      </w:r>
    </w:p>
    <w:p>
      <w:pPr>
        <w:spacing w:after="0" w:line="1" w:lineRule="exact"/>
        <w:rPr>
          <w:sz w:val="20"/>
          <w:szCs w:val="20"/>
          <w:color w:val="auto"/>
        </w:rPr>
      </w:pPr>
    </w:p>
    <w:p>
      <w:pPr>
        <w:jc w:val="both"/>
        <w:ind w:firstLine="8"/>
        <w:spacing w:after="0" w:line="277" w:lineRule="auto"/>
        <w:tabs>
          <w:tab w:leader="none" w:pos="294"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any written notice or is otherwise aware of any infringement of or conflict with asserted rights of others with respect to any Intellectual Property or of any facts or circumstances which would render any Intellectual Property owned by the Company or its Subsidiaries invalid or inadequate to protect the interest of the Company or any of its subsidiaries therein.</w:t>
      </w:r>
    </w:p>
    <w:p>
      <w:pPr>
        <w:spacing w:after="0" w:line="17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(v)</w:t>
      </w:r>
      <w:r>
        <w:rPr>
          <w:rFonts w:ascii="Arial" w:cs="Arial" w:eastAsia="Arial" w:hAnsi="Arial"/>
          <w:sz w:val="17"/>
          <w:szCs w:val="17"/>
          <w:color w:val="000000"/>
        </w:rPr>
        <w:t>            </w:t>
      </w:r>
      <w:r>
        <w:rPr>
          <w:rFonts w:ascii="Arial" w:cs="Arial" w:eastAsia="Arial" w:hAnsi="Arial"/>
          <w:sz w:val="17"/>
          <w:szCs w:val="17"/>
          <w:i w:val="1"/>
          <w:iCs w:val="1"/>
          <w:color w:val="000000"/>
        </w:rPr>
        <w:t>Environmental Laws.</w:t>
      </w:r>
      <w:r>
        <w:rPr>
          <w:rFonts w:ascii="Arial" w:cs="Arial" w:eastAsia="Arial" w:hAnsi="Arial"/>
          <w:sz w:val="17"/>
          <w:szCs w:val="17"/>
          <w:color w:val="010000"/>
        </w:rPr>
        <w:t xml:space="preserve"> </w:t>
      </w:r>
      <w:r>
        <w:rPr>
          <w:rFonts w:ascii="Arial" w:cs="Arial" w:eastAsia="Arial" w:hAnsi="Arial"/>
          <w:sz w:val="17"/>
          <w:szCs w:val="17"/>
          <w:color w:val="000000"/>
        </w:rPr>
        <w:t>Except as described in the Registration Statement and the Prospectus or would not, singly or in the</w:t>
      </w:r>
      <w:r>
        <w:rPr>
          <w:rFonts w:ascii="Arial" w:cs="Arial" w:eastAsia="Arial" w:hAnsi="Arial"/>
          <w:sz w:val="17"/>
          <w:szCs w:val="17"/>
          <w:color w:val="010000"/>
        </w:rPr>
        <w:t xml:space="preserve"> </w:t>
      </w:r>
      <w:r>
        <w:rPr>
          <w:rFonts w:ascii="Arial" w:cs="Arial" w:eastAsia="Arial" w:hAnsi="Arial"/>
          <w:sz w:val="17"/>
          <w:szCs w:val="17"/>
          <w:color w:val="000000"/>
        </w:rPr>
        <w:t>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u w:val="single" w:color="auto"/>
          <w:color w:val="000000"/>
        </w:rPr>
        <w:t>Hazardous Materials</w:t>
      </w:r>
      <w:r>
        <w:rPr>
          <w:rFonts w:ascii="Arial" w:cs="Arial" w:eastAsia="Arial" w:hAnsi="Arial"/>
          <w:sz w:val="17"/>
          <w:szCs w:val="17"/>
          <w:color w:val="000000"/>
        </w:rPr>
        <w:t>”) or to the manufacture, processing, distribution, use, treatment, storage, disposal, transport or handling of Hazardous Materials (collectively, “</w:t>
      </w:r>
      <w:r>
        <w:rPr>
          <w:rFonts w:ascii="Arial" w:cs="Arial" w:eastAsia="Arial" w:hAnsi="Arial"/>
          <w:sz w:val="17"/>
          <w:szCs w:val="17"/>
          <w:u w:val="single" w:color="auto"/>
          <w:color w:val="000000"/>
        </w:rPr>
        <w:t>Environmental Laws</w:t>
      </w:r>
      <w:r>
        <w:rPr>
          <w:rFonts w:ascii="Arial" w:cs="Arial" w:eastAsia="Arial" w:hAnsi="Arial"/>
          <w:sz w:val="17"/>
          <w:szCs w:val="17"/>
          <w:color w:val="000000"/>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296"/>
        <w:spacing w:after="0" w:line="268" w:lineRule="auto"/>
        <w:rPr>
          <w:sz w:val="20"/>
          <w:szCs w:val="20"/>
          <w:color w:val="auto"/>
        </w:rPr>
      </w:pPr>
      <w:r>
        <w:rPr>
          <w:rFonts w:ascii="Arial" w:cs="Arial" w:eastAsia="Arial" w:hAnsi="Arial"/>
          <w:sz w:val="17"/>
          <w:szCs w:val="17"/>
          <w:color w:val="010000"/>
        </w:rPr>
        <w:t>(w)</w:t>
      </w:r>
      <w:r>
        <w:rPr>
          <w:rFonts w:ascii="Arial" w:cs="Arial" w:eastAsia="Arial" w:hAnsi="Arial"/>
          <w:sz w:val="17"/>
          <w:szCs w:val="17"/>
          <w:color w:val="000000"/>
        </w:rPr>
        <w:t>            </w:t>
      </w:r>
      <w:r>
        <w:rPr>
          <w:rFonts w:ascii="Arial" w:cs="Arial" w:eastAsia="Arial" w:hAnsi="Arial"/>
          <w:sz w:val="17"/>
          <w:szCs w:val="17"/>
          <w:i w:val="1"/>
          <w:iCs w:val="1"/>
          <w:color w:val="000000"/>
        </w:rPr>
        <w:t>Accounting Controls and Disclosure Controls</w:t>
      </w:r>
      <w:r>
        <w:rPr>
          <w:rFonts w:ascii="Arial" w:cs="Arial" w:eastAsia="Arial" w:hAnsi="Arial"/>
          <w:sz w:val="17"/>
          <w:szCs w:val="17"/>
          <w:color w:val="000000"/>
        </w:rPr>
        <w:t>. The Company and each of its subsidiaries maintain effective internal control over</w:t>
      </w:r>
      <w:r>
        <w:rPr>
          <w:rFonts w:ascii="Arial" w:cs="Arial" w:eastAsia="Arial" w:hAnsi="Arial"/>
          <w:sz w:val="17"/>
          <w:szCs w:val="17"/>
          <w:color w:val="010000"/>
        </w:rPr>
        <w:t xml:space="preserve"> </w:t>
      </w:r>
      <w:r>
        <w:rPr>
          <w:rFonts w:ascii="Arial" w:cs="Arial" w:eastAsia="Arial" w:hAnsi="Arial"/>
          <w:sz w:val="17"/>
          <w:szCs w:val="17"/>
          <w:color w:val="000000"/>
        </w:rPr>
        <w:t>financial reporting (as defined under Rule 13 a15 and 15d 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w:t>
      </w:r>
      <w:r>
        <w:rPr>
          <w:rFonts w:ascii="Arial" w:cs="Arial" w:eastAsia="Arial" w:hAnsi="Arial"/>
          <w:sz w:val="17"/>
          <w:szCs w:val="17"/>
          <w:u w:val="single" w:color="auto"/>
          <w:color w:val="000000"/>
        </w:rPr>
        <w:t>XBRL</w:t>
      </w:r>
      <w:r>
        <w:rPr>
          <w:rFonts w:ascii="Arial" w:cs="Arial" w:eastAsia="Arial" w:hAnsi="Arial"/>
          <w:sz w:val="17"/>
          <w:szCs w:val="17"/>
          <w:color w:val="000000"/>
        </w:rPr>
        <w:t>”) included or incorporated by reference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 15 and Rule 15d 15 under the Exchange Act)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010000"/>
        </w:rPr>
        <w:t>(x)</w:t>
      </w:r>
      <w:r>
        <w:rPr>
          <w:rFonts w:ascii="Arial" w:cs="Arial" w:eastAsia="Arial" w:hAnsi="Arial"/>
          <w:sz w:val="16"/>
          <w:szCs w:val="16"/>
          <w:color w:val="000000"/>
        </w:rPr>
        <w:t>            </w:t>
      </w:r>
      <w:r>
        <w:rPr>
          <w:rFonts w:ascii="Arial" w:cs="Arial" w:eastAsia="Arial" w:hAnsi="Arial"/>
          <w:sz w:val="16"/>
          <w:szCs w:val="16"/>
          <w:i w:val="1"/>
          <w:iCs w:val="1"/>
          <w:color w:val="000000"/>
        </w:rPr>
        <w:t>Compliance with the Sarbanes-Oxley Act</w:t>
      </w:r>
      <w:r>
        <w:rPr>
          <w:rFonts w:ascii="Arial" w:cs="Arial" w:eastAsia="Arial" w:hAnsi="Arial"/>
          <w:sz w:val="16"/>
          <w:szCs w:val="16"/>
          <w:color w:val="000000"/>
        </w:rPr>
        <w:t>. There is and has been no failure on the part of the Company or any of the Company’s</w:t>
      </w:r>
      <w:r>
        <w:rPr>
          <w:rFonts w:ascii="Arial" w:cs="Arial" w:eastAsia="Arial" w:hAnsi="Arial"/>
          <w:sz w:val="16"/>
          <w:szCs w:val="16"/>
          <w:color w:val="010000"/>
        </w:rPr>
        <w:t xml:space="preserve"> </w:t>
      </w:r>
      <w:r>
        <w:rPr>
          <w:rFonts w:ascii="Arial" w:cs="Arial" w:eastAsia="Arial" w:hAnsi="Arial"/>
          <w:sz w:val="16"/>
          <w:szCs w:val="16"/>
          <w:color w:val="000000"/>
        </w:rPr>
        <w:t>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4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(y)</w:t>
      </w:r>
      <w:r>
        <w:rPr>
          <w:rFonts w:ascii="Arial" w:cs="Arial" w:eastAsia="Arial" w:hAnsi="Arial"/>
          <w:sz w:val="17"/>
          <w:szCs w:val="17"/>
          <w:color w:val="000000"/>
        </w:rPr>
        <w:t>            </w:t>
      </w:r>
      <w:r>
        <w:rPr>
          <w:rFonts w:ascii="Arial" w:cs="Arial" w:eastAsia="Arial" w:hAnsi="Arial"/>
          <w:sz w:val="17"/>
          <w:szCs w:val="17"/>
          <w:i w:val="1"/>
          <w:iCs w:val="1"/>
          <w:color w:val="000000"/>
        </w:rPr>
        <w:t>Payment of Taxes</w:t>
      </w:r>
      <w:r>
        <w:rPr>
          <w:rFonts w:ascii="Arial" w:cs="Arial" w:eastAsia="Arial" w:hAnsi="Arial"/>
          <w:sz w:val="17"/>
          <w:szCs w:val="17"/>
          <w:color w:val="000000"/>
        </w:rPr>
        <w:t>. All United States federal, state, local and non-U.S. income tax returns of the Company and its subsidiaries</w:t>
      </w:r>
      <w:r>
        <w:rPr>
          <w:rFonts w:ascii="Arial" w:cs="Arial" w:eastAsia="Arial" w:hAnsi="Arial"/>
          <w:sz w:val="17"/>
          <w:szCs w:val="17"/>
          <w:color w:val="010000"/>
        </w:rPr>
        <w:t xml:space="preserve"> </w:t>
      </w:r>
      <w:r>
        <w:rPr>
          <w:rFonts w:ascii="Arial" w:cs="Arial" w:eastAsia="Arial" w:hAnsi="Arial"/>
          <w:sz w:val="17"/>
          <w:szCs w:val="17"/>
          <w:color w:val="000000"/>
        </w:rPr>
        <w:t>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file such a return or pay such a tax would not, in the aggregate,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 the aggregate result in a Material Adverse Effect.</w:t>
      </w:r>
    </w:p>
    <w:p>
      <w:pPr>
        <w:spacing w:after="0" w:line="17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010000"/>
        </w:rPr>
        <w:t>(z)</w:t>
      </w:r>
      <w:r>
        <w:rPr>
          <w:rFonts w:ascii="Arial" w:cs="Arial" w:eastAsia="Arial" w:hAnsi="Arial"/>
          <w:sz w:val="16"/>
          <w:szCs w:val="16"/>
          <w:color w:val="000000"/>
        </w:rPr>
        <w:t>            </w:t>
      </w:r>
      <w:r>
        <w:rPr>
          <w:rFonts w:ascii="Arial" w:cs="Arial" w:eastAsia="Arial" w:hAnsi="Arial"/>
          <w:sz w:val="16"/>
          <w:szCs w:val="16"/>
          <w:i w:val="1"/>
          <w:iCs w:val="1"/>
          <w:color w:val="000000"/>
        </w:rPr>
        <w:t>Insurance</w:t>
      </w:r>
      <w:r>
        <w:rPr>
          <w:rFonts w:ascii="Arial" w:cs="Arial" w:eastAsia="Arial" w:hAnsi="Arial"/>
          <w:sz w:val="16"/>
          <w:szCs w:val="16"/>
          <w:color w:val="000000"/>
        </w:rPr>
        <w:t>. The Company and its subsidiaries carry or are entitled to the benefits of insurance, with financially sound and reputable</w:t>
      </w:r>
      <w:r>
        <w:rPr>
          <w:rFonts w:ascii="Arial" w:cs="Arial" w:eastAsia="Arial" w:hAnsi="Arial"/>
          <w:sz w:val="16"/>
          <w:szCs w:val="16"/>
          <w:color w:val="010000"/>
        </w:rPr>
        <w:t xml:space="preserve"> </w:t>
      </w:r>
      <w:r>
        <w:rPr>
          <w:rFonts w:ascii="Arial" w:cs="Arial" w:eastAsia="Arial" w:hAnsi="Arial"/>
          <w:sz w:val="16"/>
          <w:szCs w:val="16"/>
          <w:color w:val="000000"/>
        </w:rPr>
        <w:t>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Neither of the Company nor any of its subsidiaries has been denied any insurance coverage which it has sought or for which it has applied during the past three years.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63" w:lineRule="auto"/>
        <w:rPr>
          <w:sz w:val="20"/>
          <w:szCs w:val="20"/>
          <w:color w:val="auto"/>
        </w:rPr>
      </w:pPr>
      <w:r>
        <w:rPr>
          <w:rFonts w:ascii="Arial" w:cs="Arial" w:eastAsia="Arial" w:hAnsi="Arial"/>
          <w:sz w:val="18"/>
          <w:szCs w:val="18"/>
          <w:color w:val="010000"/>
        </w:rPr>
        <w:t>(aa)</w:t>
      </w:r>
      <w:r>
        <w:rPr>
          <w:rFonts w:ascii="Arial" w:cs="Arial" w:eastAsia="Arial" w:hAnsi="Arial"/>
          <w:sz w:val="18"/>
          <w:szCs w:val="18"/>
          <w:color w:val="000000"/>
        </w:rPr>
        <w:t>        </w:t>
      </w:r>
      <w:r>
        <w:rPr>
          <w:rFonts w:ascii="Arial" w:cs="Arial" w:eastAsia="Arial" w:hAnsi="Arial"/>
          <w:sz w:val="18"/>
          <w:szCs w:val="18"/>
          <w:i w:val="1"/>
          <w:iCs w:val="1"/>
          <w:color w:val="000000"/>
        </w:rPr>
        <w:t>Investment Company Act</w:t>
      </w:r>
      <w:r>
        <w:rPr>
          <w:rFonts w:ascii="Arial" w:cs="Arial" w:eastAsia="Arial" w:hAnsi="Arial"/>
          <w:sz w:val="18"/>
          <w:szCs w:val="18"/>
          <w:color w:val="000000"/>
        </w:rPr>
        <w:t>. The Company is not required, and upon the issuance and sale of the Shares as herein contemplated and</w:t>
      </w:r>
      <w:r>
        <w:rPr>
          <w:rFonts w:ascii="Arial" w:cs="Arial" w:eastAsia="Arial" w:hAnsi="Arial"/>
          <w:sz w:val="18"/>
          <w:szCs w:val="18"/>
          <w:color w:val="010000"/>
        </w:rPr>
        <w:t xml:space="preserve"> </w:t>
      </w:r>
      <w:r>
        <w:rPr>
          <w:rFonts w:ascii="Arial" w:cs="Arial" w:eastAsia="Arial" w:hAnsi="Arial"/>
          <w:sz w:val="18"/>
          <w:szCs w:val="18"/>
          <w:color w:val="000000"/>
        </w:rPr>
        <w:t>the application of the net proceeds therefrom as described in the Registration Statement and the Prospectus will not be required, to register as an “investment company” under the Investment Company Act of 1940, as amended.</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(bb)</w:t>
      </w:r>
      <w:r>
        <w:rPr>
          <w:rFonts w:ascii="Arial" w:cs="Arial" w:eastAsia="Arial" w:hAnsi="Arial"/>
          <w:sz w:val="16"/>
          <w:szCs w:val="16"/>
          <w:color w:val="000000"/>
        </w:rPr>
        <w:t>       </w:t>
      </w:r>
      <w:r>
        <w:rPr>
          <w:rFonts w:ascii="Arial" w:cs="Arial" w:eastAsia="Arial" w:hAnsi="Arial"/>
          <w:sz w:val="16"/>
          <w:szCs w:val="16"/>
          <w:i w:val="1"/>
          <w:iCs w:val="1"/>
          <w:color w:val="000000"/>
        </w:rPr>
        <w:t>Absence of Manipulation</w:t>
      </w:r>
      <w:r>
        <w:rPr>
          <w:rFonts w:ascii="Arial" w:cs="Arial" w:eastAsia="Arial" w:hAnsi="Arial"/>
          <w:sz w:val="16"/>
          <w:szCs w:val="16"/>
          <w:color w:val="000000"/>
        </w:rPr>
        <w:t>. Neither the Company nor any controlled affiliate of the Company has taken, nor will the Company or</w:t>
      </w:r>
      <w:r>
        <w:rPr>
          <w:rFonts w:ascii="Arial" w:cs="Arial" w:eastAsia="Arial" w:hAnsi="Arial"/>
          <w:sz w:val="16"/>
          <w:szCs w:val="16"/>
          <w:color w:val="010000"/>
        </w:rPr>
        <w:t xml:space="preserve"> </w:t>
      </w:r>
      <w:r>
        <w:rPr>
          <w:rFonts w:ascii="Arial" w:cs="Arial" w:eastAsia="Arial" w:hAnsi="Arial"/>
          <w:sz w:val="16"/>
          <w:szCs w:val="16"/>
          <w:color w:val="000000"/>
        </w:rPr>
        <w:t>any controlled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 Except as permitted by the Act and furnished and consented to by the Managers prior to distribution, the Company has not distributed any registration statement, preliminary prospectus, prospectus or other offering material in connection with the offering and sale of the Shares.</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010000"/>
        </w:rPr>
        <w:t>(cc)</w:t>
      </w:r>
      <w:r>
        <w:rPr>
          <w:rFonts w:ascii="Arial" w:cs="Arial" w:eastAsia="Arial" w:hAnsi="Arial"/>
          <w:sz w:val="17"/>
          <w:szCs w:val="17"/>
          <w:color w:val="000000"/>
        </w:rPr>
        <w:t>       </w:t>
      </w:r>
      <w:r>
        <w:rPr>
          <w:rFonts w:ascii="Arial" w:cs="Arial" w:eastAsia="Arial" w:hAnsi="Arial"/>
          <w:sz w:val="17"/>
          <w:szCs w:val="17"/>
          <w:i w:val="1"/>
          <w:iCs w:val="1"/>
          <w:color w:val="000000"/>
        </w:rPr>
        <w:t>Foreign Corrupt Practices Act</w:t>
      </w:r>
      <w:r>
        <w:rPr>
          <w:rFonts w:ascii="Arial" w:cs="Arial" w:eastAsia="Arial" w:hAnsi="Arial"/>
          <w:sz w:val="17"/>
          <w:szCs w:val="17"/>
          <w:color w:val="000000"/>
        </w:rPr>
        <w:t>. None of the Company, any of its subsidiaries or, to the knowledge of the Company, any director,</w:t>
      </w:r>
      <w:r>
        <w:rPr>
          <w:rFonts w:ascii="Arial" w:cs="Arial" w:eastAsia="Arial" w:hAnsi="Arial"/>
          <w:sz w:val="17"/>
          <w:szCs w:val="17"/>
          <w:color w:val="010000"/>
        </w:rPr>
        <w:t xml:space="preserve"> </w:t>
      </w:r>
      <w:r>
        <w:rPr>
          <w:rFonts w:ascii="Arial" w:cs="Arial" w:eastAsia="Arial" w:hAnsi="Arial"/>
          <w:sz w:val="17"/>
          <w:szCs w:val="17"/>
          <w:color w:val="000000"/>
        </w:rPr>
        <w:t>officer, agent, employee, controlled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u w:val="single" w:color="auto"/>
          <w:color w:val="000000"/>
        </w:rPr>
        <w:t>FCPA</w:t>
      </w:r>
      <w:r>
        <w:rPr>
          <w:rFonts w:ascii="Arial" w:cs="Arial" w:eastAsia="Arial" w:hAnsi="Arial"/>
          <w:sz w:val="17"/>
          <w:szCs w:val="17"/>
          <w:color w:val="00000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(dd)</w:t>
      </w:r>
      <w:r>
        <w:rPr>
          <w:rFonts w:ascii="Arial" w:cs="Arial" w:eastAsia="Arial" w:hAnsi="Arial"/>
          <w:sz w:val="18"/>
          <w:szCs w:val="18"/>
          <w:color w:val="000000"/>
        </w:rPr>
        <w:t>       </w:t>
      </w:r>
      <w:r>
        <w:rPr>
          <w:rFonts w:ascii="Arial" w:cs="Arial" w:eastAsia="Arial" w:hAnsi="Arial"/>
          <w:sz w:val="18"/>
          <w:szCs w:val="18"/>
          <w:i w:val="1"/>
          <w:iCs w:val="1"/>
          <w:color w:val="000000"/>
        </w:rPr>
        <w:t>Money Laundering Laws</w:t>
      </w:r>
      <w:r>
        <w:rPr>
          <w:rFonts w:ascii="Arial" w:cs="Arial" w:eastAsia="Arial" w:hAnsi="Arial"/>
          <w:sz w:val="18"/>
          <w:szCs w:val="18"/>
          <w:color w:val="000000"/>
        </w:rPr>
        <w:t>. The operations of the Company and its subsidiaries are and have been conducted at all times in material</w:t>
      </w:r>
      <w:r>
        <w:rPr>
          <w:rFonts w:ascii="Arial" w:cs="Arial" w:eastAsia="Arial" w:hAnsi="Arial"/>
          <w:sz w:val="18"/>
          <w:szCs w:val="18"/>
          <w:color w:val="010000"/>
        </w:rPr>
        <w:t xml:space="preserve"> </w:t>
      </w:r>
      <w:r>
        <w:rPr>
          <w:rFonts w:ascii="Arial" w:cs="Arial" w:eastAsia="Arial" w:hAnsi="Arial"/>
          <w:sz w:val="18"/>
          <w:szCs w:val="18"/>
          <w:color w:val="000000"/>
        </w:rPr>
        <w:t>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and no action, suit or proceeding by or before any Governmental Entity involving the Company or any of its subsidiaries with respect to the Money Laundering Laws is pending or, to the knowledge of the Company, threatened.</w:t>
      </w:r>
    </w:p>
    <w:p>
      <w:pPr>
        <w:spacing w:after="0" w:line="19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010000"/>
        </w:rPr>
        <w:t>(ee)</w:t>
      </w:r>
      <w:r>
        <w:rPr>
          <w:rFonts w:ascii="Arial" w:cs="Arial" w:eastAsia="Arial" w:hAnsi="Arial"/>
          <w:sz w:val="16"/>
          <w:szCs w:val="16"/>
          <w:color w:val="000000"/>
        </w:rPr>
        <w:t>       </w:t>
      </w:r>
      <w:r>
        <w:rPr>
          <w:rFonts w:ascii="Arial" w:cs="Arial" w:eastAsia="Arial" w:hAnsi="Arial"/>
          <w:sz w:val="16"/>
          <w:szCs w:val="16"/>
          <w:i w:val="1"/>
          <w:iCs w:val="1"/>
          <w:color w:val="000000"/>
        </w:rPr>
        <w:t>OFAC</w:t>
      </w:r>
      <w:r>
        <w:rPr>
          <w:rFonts w:ascii="Arial" w:cs="Arial" w:eastAsia="Arial" w:hAnsi="Arial"/>
          <w:sz w:val="16"/>
          <w:szCs w:val="16"/>
          <w:color w:val="000000"/>
        </w:rPr>
        <w:t>. None of the Company, any of its subsidiaries or, to the knowledge of the Company, any director, officer, agent, employee,</w:t>
      </w:r>
      <w:r>
        <w:rPr>
          <w:rFonts w:ascii="Arial" w:cs="Arial" w:eastAsia="Arial" w:hAnsi="Arial"/>
          <w:sz w:val="16"/>
          <w:szCs w:val="16"/>
          <w:color w:val="010000"/>
        </w:rPr>
        <w:t xml:space="preserve"> </w:t>
      </w:r>
      <w:r>
        <w:rPr>
          <w:rFonts w:ascii="Arial" w:cs="Arial" w:eastAsia="Arial" w:hAnsi="Arial"/>
          <w:sz w:val="16"/>
          <w:szCs w:val="16"/>
          <w:color w:val="000000"/>
        </w:rPr>
        <w:t>controlled affiliate or representative of the Company or any of its subsidiaries is an individual or entity (“</w:t>
      </w:r>
      <w:r>
        <w:rPr>
          <w:rFonts w:ascii="Arial" w:cs="Arial" w:eastAsia="Arial" w:hAnsi="Arial"/>
          <w:sz w:val="16"/>
          <w:szCs w:val="16"/>
          <w:u w:val="single" w:color="auto"/>
          <w:color w:val="000000"/>
        </w:rPr>
        <w:t>Person</w:t>
      </w:r>
      <w:r>
        <w:rPr>
          <w:rFonts w:ascii="Arial" w:cs="Arial" w:eastAsia="Arial" w:hAnsi="Arial"/>
          <w:sz w:val="16"/>
          <w:szCs w:val="16"/>
          <w:color w:val="000000"/>
        </w:rPr>
        <w:t>”)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6"/>
          <w:szCs w:val="16"/>
          <w:u w:val="single" w:color="auto"/>
          <w:color w:val="000000"/>
        </w:rPr>
        <w:t>OFAC</w:t>
      </w:r>
      <w:r>
        <w:rPr>
          <w:rFonts w:ascii="Arial" w:cs="Arial" w:eastAsia="Arial" w:hAnsi="Arial"/>
          <w:sz w:val="16"/>
          <w:szCs w:val="16"/>
          <w:color w:val="000000"/>
        </w:rPr>
        <w:t>”), the U.S. Department of State, the United Nations Security Council, the European Union, His Majesty’s Treasury, or other relevant sanctions authority (collectively, “</w:t>
      </w:r>
      <w:r>
        <w:rPr>
          <w:rFonts w:ascii="Arial" w:cs="Arial" w:eastAsia="Arial" w:hAnsi="Arial"/>
          <w:sz w:val="16"/>
          <w:szCs w:val="16"/>
          <w:u w:val="single" w:color="auto"/>
          <w:color w:val="000000"/>
        </w:rPr>
        <w:t>Sanctions</w:t>
      </w:r>
      <w:r>
        <w:rPr>
          <w:rFonts w:ascii="Arial" w:cs="Arial" w:eastAsia="Arial" w:hAnsi="Arial"/>
          <w:sz w:val="16"/>
          <w:szCs w:val="16"/>
          <w:color w:val="000000"/>
        </w:rPr>
        <w:t>”), nor is the Company located, organized or resident in a country or territory that is the subject of Sanctions (including, without limitation, Cuba, Iran, North Korea, Syria, Crimea, the so-called Donetsk People’s Republic and the so-called Luhansk People’s Republic);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initial purchaser, advisor, investor or otherwise) of Sanctions.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63" w:lineRule="auto"/>
        <w:rPr>
          <w:sz w:val="20"/>
          <w:szCs w:val="20"/>
          <w:color w:val="auto"/>
        </w:rPr>
      </w:pPr>
      <w:r>
        <w:rPr>
          <w:rFonts w:ascii="Arial" w:cs="Arial" w:eastAsia="Arial" w:hAnsi="Arial"/>
          <w:sz w:val="18"/>
          <w:szCs w:val="18"/>
          <w:color w:val="010000"/>
        </w:rPr>
        <w:t>(ff)</w:t>
      </w:r>
      <w:r>
        <w:rPr>
          <w:rFonts w:ascii="Arial" w:cs="Arial" w:eastAsia="Arial" w:hAnsi="Arial"/>
          <w:sz w:val="18"/>
          <w:szCs w:val="18"/>
          <w:color w:val="000000"/>
        </w:rPr>
        <w:t>           </w:t>
      </w:r>
      <w:r>
        <w:rPr>
          <w:rFonts w:ascii="Arial" w:cs="Arial" w:eastAsia="Arial" w:hAnsi="Arial"/>
          <w:sz w:val="18"/>
          <w:szCs w:val="18"/>
          <w:i w:val="1"/>
          <w:iCs w:val="1"/>
          <w:color w:val="000000"/>
        </w:rPr>
        <w:t>Lending Relationship</w:t>
      </w:r>
      <w:r>
        <w:rPr>
          <w:rFonts w:ascii="Arial" w:cs="Arial" w:eastAsia="Arial" w:hAnsi="Arial"/>
          <w:sz w:val="18"/>
          <w:szCs w:val="18"/>
          <w:color w:val="000000"/>
        </w:rPr>
        <w:t>. Except as disclosed in the Registration Statement and the Prospectus, the Company (A) does not have any</w:t>
      </w:r>
      <w:r>
        <w:rPr>
          <w:rFonts w:ascii="Arial" w:cs="Arial" w:eastAsia="Arial" w:hAnsi="Arial"/>
          <w:sz w:val="18"/>
          <w:szCs w:val="18"/>
          <w:color w:val="010000"/>
        </w:rPr>
        <w:t xml:space="preserve"> </w:t>
      </w:r>
      <w:r>
        <w:rPr>
          <w:rFonts w:ascii="Arial" w:cs="Arial" w:eastAsia="Arial" w:hAnsi="Arial"/>
          <w:sz w:val="18"/>
          <w:szCs w:val="18"/>
          <w:color w:val="000000"/>
        </w:rPr>
        <w:t>material lending or other relationship with any bank or lending affiliate of any Initial Purchaser and (B) does not intend to use any of the proceeds from the sale of the Shares to repay any outstanding debt owed to any affiliate of any Manager.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(gg)</w:t>
      </w:r>
      <w:r>
        <w:rPr>
          <w:rFonts w:ascii="Arial" w:cs="Arial" w:eastAsia="Arial" w:hAnsi="Arial"/>
          <w:sz w:val="18"/>
          <w:szCs w:val="18"/>
          <w:color w:val="000000"/>
        </w:rPr>
        <w:t>         </w:t>
      </w:r>
      <w:r>
        <w:rPr>
          <w:rFonts w:ascii="Arial" w:cs="Arial" w:eastAsia="Arial" w:hAnsi="Arial"/>
          <w:sz w:val="18"/>
          <w:szCs w:val="18"/>
          <w:i w:val="1"/>
          <w:iCs w:val="1"/>
          <w:color w:val="000000"/>
        </w:rPr>
        <w:t>Statistical and Market-Related Data</w:t>
      </w:r>
      <w:r>
        <w:rPr>
          <w:rFonts w:ascii="Arial" w:cs="Arial" w:eastAsia="Arial" w:hAnsi="Arial"/>
          <w:sz w:val="18"/>
          <w:szCs w:val="18"/>
          <w:color w:val="000000"/>
        </w:rPr>
        <w:t>. Any statistical and market-related data included in the Registration Statement or the</w:t>
      </w:r>
      <w:r>
        <w:rPr>
          <w:rFonts w:ascii="Arial" w:cs="Arial" w:eastAsia="Arial" w:hAnsi="Arial"/>
          <w:sz w:val="18"/>
          <w:szCs w:val="18"/>
          <w:color w:val="010000"/>
        </w:rPr>
        <w:t xml:space="preserve"> </w:t>
      </w:r>
      <w:r>
        <w:rPr>
          <w:rFonts w:ascii="Arial" w:cs="Arial" w:eastAsia="Arial" w:hAnsi="Arial"/>
          <w:sz w:val="18"/>
          <w:szCs w:val="18"/>
          <w:color w:val="000000"/>
        </w:rPr>
        <w:t>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(hh)</w:t>
      </w:r>
      <w:r>
        <w:rPr>
          <w:rFonts w:ascii="Arial" w:cs="Arial" w:eastAsia="Arial" w:hAnsi="Arial"/>
          <w:sz w:val="17"/>
          <w:szCs w:val="17"/>
          <w:color w:val="000000"/>
        </w:rPr>
        <w:t>          </w:t>
      </w:r>
      <w:r>
        <w:rPr>
          <w:rFonts w:ascii="Arial" w:cs="Arial" w:eastAsia="Arial" w:hAnsi="Arial"/>
          <w:sz w:val="17"/>
          <w:szCs w:val="17"/>
          <w:i w:val="1"/>
          <w:iCs w:val="1"/>
          <w:color w:val="000000"/>
        </w:rPr>
        <w:t>Cybersecurity</w:t>
      </w:r>
      <w:r>
        <w:rPr>
          <w:rFonts w:ascii="Arial" w:cs="Arial" w:eastAsia="Arial" w:hAnsi="Arial"/>
          <w:sz w:val="17"/>
          <w:szCs w:val="17"/>
          <w:color w:val="000000"/>
        </w:rPr>
        <w:t>. (A) Except as would not, singly or in the aggregate, result in a Material Adverse Effect, there has been no security</w:t>
      </w:r>
      <w:r>
        <w:rPr>
          <w:rFonts w:ascii="Arial" w:cs="Arial" w:eastAsia="Arial" w:hAnsi="Arial"/>
          <w:sz w:val="17"/>
          <w:szCs w:val="17"/>
          <w:color w:val="010000"/>
        </w:rPr>
        <w:t xml:space="preserve"> </w:t>
      </w:r>
      <w:r>
        <w:rPr>
          <w:rFonts w:ascii="Arial" w:cs="Arial" w:eastAsia="Arial" w:hAnsi="Arial"/>
          <w:sz w:val="17"/>
          <w:szCs w:val="17"/>
          <w:color w:val="000000"/>
        </w:rPr>
        <w:t>breach or incident, unauthorized access or disclosure, or other compromise of or relating to the Company or its subsidiaries information technology and computer systems, networks, hardware, software, data and databases (including the data and information maintained, processed or stored by the Company and its subsidiaries), equipment or technology (collectively, “</w:t>
      </w:r>
      <w:r>
        <w:rPr>
          <w:rFonts w:ascii="Arial" w:cs="Arial" w:eastAsia="Arial" w:hAnsi="Arial"/>
          <w:sz w:val="17"/>
          <w:szCs w:val="17"/>
          <w:u w:val="single" w:color="auto"/>
          <w:color w:val="000000"/>
        </w:rPr>
        <w:t>IT Systems and Data</w:t>
      </w:r>
      <w:r>
        <w:rPr>
          <w:rFonts w:ascii="Arial" w:cs="Arial" w:eastAsia="Arial" w:hAnsi="Arial"/>
          <w:sz w:val="17"/>
          <w:szCs w:val="17"/>
          <w:color w:val="000000"/>
        </w:rPr>
        <w:t>”): (B) neither the Company nor its subsidiaries have been notified of, and each of them have no knowledge of any material event or condition that could result in, any security breach or incident, unauthorized access or disclosure or other compromise to their IT Systems and Data and (C) the Company and its subsidiaries have implemented commercially reasonable controls, policies, procedures, and technological safeguards designed to maintain and protect the integrity, continuous operation, redundancy and security of their material IT Systems and Data reasonably consistent with applicable binding industry standards and practices, or as required by applicable binding regulatory standards. The Company and its subsidiaries are presently in material compliance with all applicable laws or statutes and all judgments, orders, rules and regulations of any court or arbitrator or governmental or regulatory authority, public-facing policies and statements and contractual obligations relating to the privacy and security of IT Systems and Data and to the protection of such IT Systems and Data from unauthorized use, access, misappropriation or modification.</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(ii)</w:t>
      </w:r>
      <w:r>
        <w:rPr>
          <w:rFonts w:ascii="Arial" w:cs="Arial" w:eastAsia="Arial" w:hAnsi="Arial"/>
          <w:sz w:val="18"/>
          <w:szCs w:val="18"/>
          <w:color w:val="000000"/>
        </w:rPr>
        <w:t>          </w:t>
      </w:r>
      <w:r>
        <w:rPr>
          <w:rFonts w:ascii="Arial" w:cs="Arial" w:eastAsia="Arial" w:hAnsi="Arial"/>
          <w:sz w:val="18"/>
          <w:szCs w:val="18"/>
          <w:u w:val="single" w:color="auto"/>
          <w:color w:val="000000"/>
        </w:rPr>
        <w:t>  </w:t>
      </w:r>
      <w:r>
        <w:rPr>
          <w:rFonts w:ascii="Arial" w:cs="Arial" w:eastAsia="Arial" w:hAnsi="Arial"/>
          <w:sz w:val="18"/>
          <w:szCs w:val="18"/>
          <w:i w:val="1"/>
          <w:iCs w:val="1"/>
          <w:u w:val="single" w:color="auto"/>
          <w:color w:val="000000"/>
        </w:rPr>
        <w:t>Uyghur Forced Labor Prevention Act</w:t>
      </w:r>
      <w:r>
        <w:rPr>
          <w:rFonts w:ascii="Arial" w:cs="Arial" w:eastAsia="Arial" w:hAnsi="Arial"/>
          <w:sz w:val="18"/>
          <w:szCs w:val="18"/>
          <w:u w:val="single" w:color="auto"/>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The operations of neither the Company nor any of its subsidiaries involve the sale or import</w:t>
      </w:r>
      <w:r>
        <w:rPr>
          <w:rFonts w:ascii="Arial" w:cs="Arial" w:eastAsia="Arial" w:hAnsi="Arial"/>
          <w:sz w:val="18"/>
          <w:szCs w:val="18"/>
          <w:color w:val="010000"/>
        </w:rPr>
        <w:t xml:space="preserve"> </w:t>
      </w:r>
      <w:r>
        <w:rPr>
          <w:rFonts w:ascii="Arial" w:cs="Arial" w:eastAsia="Arial" w:hAnsi="Arial"/>
          <w:sz w:val="18"/>
          <w:szCs w:val="18"/>
          <w:color w:val="000000"/>
        </w:rPr>
        <w:t>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(jj)</w:t>
      </w:r>
      <w:r>
        <w:rPr>
          <w:rFonts w:ascii="Arial" w:cs="Arial" w:eastAsia="Arial" w:hAnsi="Arial"/>
          <w:sz w:val="18"/>
          <w:szCs w:val="18"/>
          <w:color w:val="000000"/>
        </w:rPr>
        <w:t>          </w:t>
      </w:r>
      <w:r>
        <w:rPr>
          <w:rFonts w:ascii="Arial" w:cs="Arial" w:eastAsia="Arial" w:hAnsi="Arial"/>
          <w:sz w:val="18"/>
          <w:szCs w:val="18"/>
          <w:i w:val="1"/>
          <w:iCs w:val="1"/>
          <w:color w:val="000000"/>
        </w:rPr>
        <w:t>No Rated Debt Securities</w:t>
      </w:r>
      <w:r>
        <w:rPr>
          <w:rFonts w:ascii="Arial" w:cs="Arial" w:eastAsia="Arial" w:hAnsi="Arial"/>
          <w:sz w:val="18"/>
          <w:szCs w:val="18"/>
          <w:color w:val="000000"/>
        </w:rPr>
        <w:t>. Neither the Company nor its subsidiaries have any debt securities or preferred stock that are rated by any</w:t>
      </w:r>
      <w:r>
        <w:rPr>
          <w:rFonts w:ascii="Arial" w:cs="Arial" w:eastAsia="Arial" w:hAnsi="Arial"/>
          <w:sz w:val="18"/>
          <w:szCs w:val="18"/>
          <w:color w:val="010000"/>
        </w:rPr>
        <w:t xml:space="preserve"> </w:t>
      </w:r>
      <w:r>
        <w:rPr>
          <w:rFonts w:ascii="Arial" w:cs="Arial" w:eastAsia="Arial" w:hAnsi="Arial"/>
          <w:sz w:val="18"/>
          <w:szCs w:val="18"/>
          <w:color w:val="000000"/>
        </w:rPr>
        <w:t>“nationally recognized statistical rating organization” (as defined in Section 3(a)(62) of the Exchange Act).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(kk)</w:t>
      </w:r>
      <w:r>
        <w:rPr>
          <w:rFonts w:ascii="Arial" w:cs="Arial" w:eastAsia="Arial" w:hAnsi="Arial"/>
          <w:sz w:val="18"/>
          <w:szCs w:val="18"/>
          <w:color w:val="000000"/>
        </w:rPr>
        <w:t>        </w:t>
      </w:r>
      <w:r>
        <w:rPr>
          <w:rFonts w:ascii="Arial" w:cs="Arial" w:eastAsia="Arial" w:hAnsi="Arial"/>
          <w:sz w:val="18"/>
          <w:szCs w:val="18"/>
          <w:i w:val="1"/>
          <w:iCs w:val="1"/>
          <w:color w:val="000000"/>
        </w:rPr>
        <w:t>Federal Reserve Regulations</w:t>
      </w:r>
      <w:r>
        <w:rPr>
          <w:rFonts w:ascii="Arial" w:cs="Arial" w:eastAsia="Arial" w:hAnsi="Arial"/>
          <w:sz w:val="18"/>
          <w:szCs w:val="18"/>
          <w:color w:val="000000"/>
        </w:rPr>
        <w:t>. Neither the issuance, sale and delivery of the Shares nor the application of the proceeds thereof by</w:t>
      </w:r>
      <w:r>
        <w:rPr>
          <w:rFonts w:ascii="Arial" w:cs="Arial" w:eastAsia="Arial" w:hAnsi="Arial"/>
          <w:sz w:val="18"/>
          <w:szCs w:val="18"/>
          <w:color w:val="010000"/>
        </w:rPr>
        <w:t xml:space="preserve"> </w:t>
      </w:r>
      <w:r>
        <w:rPr>
          <w:rFonts w:ascii="Arial" w:cs="Arial" w:eastAsia="Arial" w:hAnsi="Arial"/>
          <w:sz w:val="18"/>
          <w:szCs w:val="18"/>
          <w:color w:val="000000"/>
        </w:rPr>
        <w:t>the Company as described in the Prospectus will violate Regulation T, U or X of the Board of Governors of the Federal Reserve System or any other regulation of such Board of Governors.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77" w:lineRule="auto"/>
        <w:rPr>
          <w:sz w:val="20"/>
          <w:szCs w:val="20"/>
          <w:color w:val="auto"/>
        </w:rPr>
      </w:pPr>
      <w:r>
        <w:rPr>
          <w:rFonts w:ascii="Arial" w:cs="Arial" w:eastAsia="Arial" w:hAnsi="Arial"/>
          <w:sz w:val="18"/>
          <w:szCs w:val="18"/>
          <w:color w:val="010000"/>
        </w:rPr>
        <w:t>(ll)</w:t>
      </w:r>
      <w:r>
        <w:rPr>
          <w:rFonts w:ascii="Arial" w:cs="Arial" w:eastAsia="Arial" w:hAnsi="Arial"/>
          <w:sz w:val="18"/>
          <w:szCs w:val="18"/>
          <w:color w:val="000000"/>
        </w:rPr>
        <w:t>                </w:t>
      </w:r>
      <w:r>
        <w:rPr>
          <w:rFonts w:ascii="Arial" w:cs="Arial" w:eastAsia="Arial" w:hAnsi="Arial"/>
          <w:sz w:val="18"/>
          <w:szCs w:val="18"/>
          <w:i w:val="1"/>
          <w:iCs w:val="1"/>
          <w:color w:val="000000"/>
        </w:rPr>
        <w:t>Disclosure</w:t>
      </w:r>
      <w:r>
        <w:rPr>
          <w:rFonts w:ascii="Arial" w:cs="Arial" w:eastAsia="Arial" w:hAnsi="Arial"/>
          <w:sz w:val="18"/>
          <w:szCs w:val="18"/>
          <w:color w:val="000000"/>
        </w:rPr>
        <w:t>. The Company is subject to the reporting requirements of either Section 13 or Section 15(d) of the Exchange Act and</w:t>
      </w:r>
      <w:r>
        <w:rPr>
          <w:rFonts w:ascii="Arial" w:cs="Arial" w:eastAsia="Arial" w:hAnsi="Arial"/>
          <w:sz w:val="18"/>
          <w:szCs w:val="18"/>
          <w:color w:val="010000"/>
        </w:rPr>
        <w:t xml:space="preserve"> </w:t>
      </w:r>
      <w:r>
        <w:rPr>
          <w:rFonts w:ascii="Arial" w:cs="Arial" w:eastAsia="Arial" w:hAnsi="Arial"/>
          <w:sz w:val="18"/>
          <w:szCs w:val="18"/>
          <w:color w:val="000000"/>
        </w:rPr>
        <w:t>files reports with the Commission on the EDGAR system.</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(mm)</w:t>
      </w:r>
      <w:r>
        <w:rPr>
          <w:rFonts w:ascii="Arial" w:cs="Arial" w:eastAsia="Arial" w:hAnsi="Arial"/>
          <w:sz w:val="18"/>
          <w:szCs w:val="18"/>
          <w:color w:val="000000"/>
        </w:rPr>
        <w:t>           </w:t>
      </w:r>
      <w:r>
        <w:rPr>
          <w:rFonts w:ascii="Arial" w:cs="Arial" w:eastAsia="Arial" w:hAnsi="Arial"/>
          <w:sz w:val="18"/>
          <w:szCs w:val="18"/>
          <w:i w:val="1"/>
          <w:iCs w:val="1"/>
          <w:color w:val="000000"/>
        </w:rPr>
        <w:t>No Broker’s Fees.</w:t>
      </w:r>
      <w:r>
        <w:rPr>
          <w:rFonts w:ascii="Arial" w:cs="Arial" w:eastAsia="Arial" w:hAnsi="Arial"/>
          <w:sz w:val="18"/>
          <w:szCs w:val="18"/>
          <w:color w:val="010000"/>
        </w:rPr>
        <w:t xml:space="preserve"> </w:t>
      </w:r>
      <w:r>
        <w:rPr>
          <w:rFonts w:ascii="Arial" w:cs="Arial" w:eastAsia="Arial" w:hAnsi="Arial"/>
          <w:sz w:val="18"/>
          <w:szCs w:val="18"/>
          <w:color w:val="000000"/>
        </w:rPr>
        <w:t>Except as disclosed in the Prospectus, there are no contracts, agreements or understandings (other than this</w:t>
      </w:r>
      <w:r>
        <w:rPr>
          <w:rFonts w:ascii="Arial" w:cs="Arial" w:eastAsia="Arial" w:hAnsi="Arial"/>
          <w:sz w:val="18"/>
          <w:szCs w:val="18"/>
          <w:color w:val="010000"/>
        </w:rPr>
        <w:t xml:space="preserve"> </w:t>
      </w:r>
      <w:r>
        <w:rPr>
          <w:rFonts w:ascii="Arial" w:cs="Arial" w:eastAsia="Arial" w:hAnsi="Arial"/>
          <w:sz w:val="18"/>
          <w:szCs w:val="18"/>
          <w:color w:val="000000"/>
        </w:rPr>
        <w:t>Agreement) between the Company and any person that would give rise to a valid claim against the Company or any Manager for a brokerage commission, finder’s fee or like payment as a result of the transactions contemplated by this Agreement.</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010000"/>
        </w:rPr>
        <w:t>(nn)</w:t>
      </w:r>
      <w:r>
        <w:rPr>
          <w:rFonts w:ascii="Arial" w:cs="Arial" w:eastAsia="Arial" w:hAnsi="Arial"/>
          <w:sz w:val="18"/>
          <w:szCs w:val="18"/>
          <w:color w:val="000000"/>
        </w:rPr>
        <w:t>           </w:t>
      </w:r>
      <w:r>
        <w:rPr>
          <w:rFonts w:ascii="Arial" w:cs="Arial" w:eastAsia="Arial" w:hAnsi="Arial"/>
          <w:sz w:val="18"/>
          <w:szCs w:val="18"/>
          <w:i w:val="1"/>
          <w:iCs w:val="1"/>
          <w:color w:val="000000"/>
        </w:rPr>
        <w:t>Status under the Act.</w:t>
      </w:r>
      <w:r>
        <w:rPr>
          <w:rFonts w:ascii="Arial" w:cs="Arial" w:eastAsia="Arial" w:hAnsi="Arial"/>
          <w:sz w:val="18"/>
          <w:szCs w:val="18"/>
          <w:color w:val="010000"/>
        </w:rPr>
        <w:t xml:space="preserve"> </w:t>
      </w:r>
      <w:r>
        <w:rPr>
          <w:rFonts w:ascii="Arial" w:cs="Arial" w:eastAsia="Arial" w:hAnsi="Arial"/>
          <w:sz w:val="18"/>
          <w:szCs w:val="18"/>
          <w:color w:val="000000"/>
        </w:rPr>
        <w:t>The Company has paid the registration fees for each offering of Shares contemplated hereby pursuant to</w:t>
      </w:r>
      <w:r>
        <w:rPr>
          <w:rFonts w:ascii="Arial" w:cs="Arial" w:eastAsia="Arial" w:hAnsi="Arial"/>
          <w:sz w:val="18"/>
          <w:szCs w:val="18"/>
          <w:color w:val="010000"/>
        </w:rPr>
        <w:t xml:space="preserve"> </w:t>
      </w:r>
      <w:r>
        <w:rPr>
          <w:rFonts w:ascii="Arial" w:cs="Arial" w:eastAsia="Arial" w:hAnsi="Arial"/>
          <w:sz w:val="18"/>
          <w:szCs w:val="18"/>
          <w:color w:val="000000"/>
        </w:rPr>
        <w:t>Rule 456(b)(1) under the Act or will pay such fees within the time period required by such rule (without giving effect to the proviso therein) and otherwise in accordance with Rules 456(b) and 457(r) under the Act.</w:t>
      </w:r>
    </w:p>
    <w:p>
      <w:pPr>
        <w:spacing w:after="0" w:line="18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010000"/>
        </w:rPr>
        <w:t>(oo)</w:t>
      </w:r>
      <w:r>
        <w:rPr>
          <w:rFonts w:ascii="Arial" w:cs="Arial" w:eastAsia="Arial" w:hAnsi="Arial"/>
          <w:sz w:val="16"/>
          <w:szCs w:val="16"/>
          <w:color w:val="000000"/>
        </w:rPr>
        <w:t>          </w:t>
      </w:r>
      <w:r>
        <w:rPr>
          <w:rFonts w:ascii="Arial" w:cs="Arial" w:eastAsia="Arial" w:hAnsi="Arial"/>
          <w:sz w:val="16"/>
          <w:szCs w:val="16"/>
          <w:i w:val="1"/>
          <w:iCs w:val="1"/>
          <w:color w:val="000000"/>
        </w:rPr>
        <w:t>XBRL.</w:t>
      </w:r>
      <w:r>
        <w:rPr>
          <w:rFonts w:ascii="Arial" w:cs="Arial" w:eastAsia="Arial" w:hAnsi="Arial"/>
          <w:sz w:val="16"/>
          <w:szCs w:val="16"/>
          <w:color w:val="010000"/>
        </w:rPr>
        <w:t xml:space="preserve"> </w:t>
      </w:r>
      <w:r>
        <w:rPr>
          <w:rFonts w:ascii="Arial" w:cs="Arial" w:eastAsia="Arial" w:hAnsi="Arial"/>
          <w:sz w:val="16"/>
          <w:szCs w:val="16"/>
          <w:color w:val="000000"/>
        </w:rPr>
        <w:t>The XBRL included or incorporated by reference in each of the Registration Statement and the Prospectus fairly presents</w:t>
      </w:r>
      <w:r>
        <w:rPr>
          <w:rFonts w:ascii="Arial" w:cs="Arial" w:eastAsia="Arial" w:hAnsi="Arial"/>
          <w:sz w:val="16"/>
          <w:szCs w:val="16"/>
          <w:color w:val="010000"/>
        </w:rPr>
        <w:t xml:space="preserve"> </w:t>
      </w:r>
      <w:r>
        <w:rPr>
          <w:rFonts w:ascii="Arial" w:cs="Arial" w:eastAsia="Arial" w:hAnsi="Arial"/>
          <w:sz w:val="16"/>
          <w:szCs w:val="16"/>
          <w:color w:val="000000"/>
        </w:rPr>
        <w:t>the information called for in all material respects and has been prepared in accordance with the Commission’s rules and guidelines applicable thereto.</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(pp)</w:t>
      </w:r>
      <w:r>
        <w:rPr>
          <w:rFonts w:ascii="Arial" w:cs="Arial" w:eastAsia="Arial" w:hAnsi="Arial"/>
          <w:sz w:val="18"/>
          <w:szCs w:val="18"/>
          <w:color w:val="000000"/>
        </w:rPr>
        <w:t>         </w:t>
      </w:r>
      <w:r>
        <w:rPr>
          <w:rFonts w:ascii="Arial" w:cs="Arial" w:eastAsia="Arial" w:hAnsi="Arial"/>
          <w:sz w:val="18"/>
          <w:szCs w:val="18"/>
          <w:i w:val="1"/>
          <w:iCs w:val="1"/>
          <w:color w:val="000000"/>
        </w:rPr>
        <w:t>Listing of the Shares</w:t>
      </w:r>
      <w:r>
        <w:rPr>
          <w:rFonts w:ascii="Arial" w:cs="Arial" w:eastAsia="Arial" w:hAnsi="Arial"/>
          <w:sz w:val="18"/>
          <w:szCs w:val="18"/>
          <w:color w:val="000000"/>
        </w:rPr>
        <w:t>. On or prior to the Execution Date, the Shares will have been approved for listing on the Nasdaq Global</w:t>
      </w:r>
      <w:r>
        <w:rPr>
          <w:rFonts w:ascii="Arial" w:cs="Arial" w:eastAsia="Arial" w:hAnsi="Arial"/>
          <w:sz w:val="18"/>
          <w:szCs w:val="18"/>
          <w:color w:val="010000"/>
        </w:rPr>
        <w:t xml:space="preserve"> </w:t>
      </w:r>
      <w:r>
        <w:rPr>
          <w:rFonts w:ascii="Arial" w:cs="Arial" w:eastAsia="Arial" w:hAnsi="Arial"/>
          <w:sz w:val="18"/>
          <w:szCs w:val="18"/>
          <w:color w:val="000000"/>
        </w:rPr>
        <w:t>Select Market (the “</w:t>
      </w:r>
      <w:r>
        <w:rPr>
          <w:rFonts w:ascii="Arial" w:cs="Arial" w:eastAsia="Arial" w:hAnsi="Arial"/>
          <w:sz w:val="18"/>
          <w:szCs w:val="18"/>
          <w:u w:val="single" w:color="auto"/>
          <w:color w:val="000000"/>
        </w:rPr>
        <w:t>Nasdaq</w:t>
      </w:r>
      <w:r>
        <w:rPr>
          <w:rFonts w:ascii="Arial" w:cs="Arial" w:eastAsia="Arial" w:hAnsi="Arial"/>
          <w:sz w:val="18"/>
          <w:szCs w:val="18"/>
          <w:color w:val="000000"/>
        </w:rPr>
        <w:t>”), subject only to notice of issuance.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(qq)</w:t>
      </w:r>
      <w:r>
        <w:rPr>
          <w:rFonts w:ascii="Arial" w:cs="Arial" w:eastAsia="Arial" w:hAnsi="Arial"/>
          <w:sz w:val="18"/>
          <w:szCs w:val="18"/>
          <w:color w:val="000000"/>
        </w:rPr>
        <w:t>        </w:t>
      </w:r>
      <w:r>
        <w:rPr>
          <w:rFonts w:ascii="Arial" w:cs="Arial" w:eastAsia="Arial" w:hAnsi="Arial"/>
          <w:sz w:val="18"/>
          <w:szCs w:val="18"/>
          <w:i w:val="1"/>
          <w:iCs w:val="1"/>
          <w:color w:val="000000"/>
        </w:rPr>
        <w:t>Common Stock</w:t>
      </w:r>
      <w:r>
        <w:rPr>
          <w:rFonts w:ascii="Arial" w:cs="Arial" w:eastAsia="Arial" w:hAnsi="Arial"/>
          <w:sz w:val="18"/>
          <w:szCs w:val="18"/>
          <w:color w:val="000000"/>
        </w:rPr>
        <w:t>. The Common Stock is an “actively-traded security” excepted from the requirements of Rule 101 of Regulation M</w:t>
      </w:r>
      <w:r>
        <w:rPr>
          <w:rFonts w:ascii="Arial" w:cs="Arial" w:eastAsia="Arial" w:hAnsi="Arial"/>
          <w:sz w:val="18"/>
          <w:szCs w:val="18"/>
          <w:color w:val="010000"/>
        </w:rPr>
        <w:t xml:space="preserve"> </w:t>
      </w:r>
      <w:r>
        <w:rPr>
          <w:rFonts w:ascii="Arial" w:cs="Arial" w:eastAsia="Arial" w:hAnsi="Arial"/>
          <w:sz w:val="18"/>
          <w:szCs w:val="18"/>
          <w:color w:val="000000"/>
        </w:rPr>
        <w:t>under the Exchange Act by Rule 101(c)(1) thereunder.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(rr)</w:t>
      </w:r>
      <w:r>
        <w:rPr>
          <w:rFonts w:ascii="Arial" w:cs="Arial" w:eastAsia="Arial" w:hAnsi="Arial"/>
          <w:sz w:val="18"/>
          <w:szCs w:val="18"/>
          <w:color w:val="000000"/>
        </w:rPr>
        <w:t>          </w:t>
      </w:r>
      <w:r>
        <w:rPr>
          <w:rFonts w:ascii="Arial" w:cs="Arial" w:eastAsia="Arial" w:hAnsi="Arial"/>
          <w:sz w:val="18"/>
          <w:szCs w:val="18"/>
          <w:i w:val="1"/>
          <w:iCs w:val="1"/>
          <w:color w:val="000000"/>
        </w:rPr>
        <w:t>No objection</w:t>
      </w:r>
      <w:r>
        <w:rPr>
          <w:rFonts w:ascii="Arial" w:cs="Arial" w:eastAsia="Arial" w:hAnsi="Arial"/>
          <w:sz w:val="18"/>
          <w:szCs w:val="18"/>
          <w:color w:val="000000"/>
        </w:rPr>
        <w:t>. FINRA has confirmed that it has not raised any objection with respect to the fairness and reasonableness of the terms</w:t>
      </w:r>
      <w:r>
        <w:rPr>
          <w:rFonts w:ascii="Arial" w:cs="Arial" w:eastAsia="Arial" w:hAnsi="Arial"/>
          <w:sz w:val="18"/>
          <w:szCs w:val="18"/>
          <w:color w:val="010000"/>
        </w:rPr>
        <w:t xml:space="preserve"> </w:t>
      </w:r>
      <w:r>
        <w:rPr>
          <w:rFonts w:ascii="Arial" w:cs="Arial" w:eastAsia="Arial" w:hAnsi="Arial"/>
          <w:sz w:val="18"/>
          <w:szCs w:val="18"/>
          <w:color w:val="000000"/>
        </w:rPr>
        <w:t>and arrangements relating to the offering of the Shares.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(ss)</w:t>
      </w:r>
      <w:r>
        <w:rPr>
          <w:rFonts w:ascii="Arial" w:cs="Arial" w:eastAsia="Arial" w:hAnsi="Arial"/>
          <w:sz w:val="18"/>
          <w:szCs w:val="18"/>
          <w:color w:val="000000"/>
        </w:rPr>
        <w:t>         </w:t>
      </w:r>
      <w:r>
        <w:rPr>
          <w:rFonts w:ascii="Arial" w:cs="Arial" w:eastAsia="Arial" w:hAnsi="Arial"/>
          <w:sz w:val="18"/>
          <w:szCs w:val="18"/>
          <w:i w:val="1"/>
          <w:iCs w:val="1"/>
          <w:color w:val="000000"/>
        </w:rPr>
        <w:t>Accuracy of Exhibits</w:t>
      </w:r>
      <w:r>
        <w:rPr>
          <w:rFonts w:ascii="Arial" w:cs="Arial" w:eastAsia="Arial" w:hAnsi="Arial"/>
          <w:sz w:val="18"/>
          <w:szCs w:val="18"/>
          <w:color w:val="000000"/>
        </w:rPr>
        <w:t>. There are no contracts or documents which are required to be described in the Prospectus or to be filed as</w:t>
      </w:r>
      <w:r>
        <w:rPr>
          <w:rFonts w:ascii="Arial" w:cs="Arial" w:eastAsia="Arial" w:hAnsi="Arial"/>
          <w:sz w:val="18"/>
          <w:szCs w:val="18"/>
          <w:color w:val="010000"/>
        </w:rPr>
        <w:t xml:space="preserve"> </w:t>
      </w:r>
      <w:r>
        <w:rPr>
          <w:rFonts w:ascii="Arial" w:cs="Arial" w:eastAsia="Arial" w:hAnsi="Arial"/>
          <w:sz w:val="18"/>
          <w:szCs w:val="18"/>
          <w:color w:val="000000"/>
        </w:rPr>
        <w:t>exhibits to the Registration Statement which have not been so described and filed as required.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certificate signed by any officer of the Company and delivered to a Manager, or counsel for the Managers in connection with an offering of Shares hereunder shall be deemed a representation and warranty by the Company, as to matters covered thereby, to each Manager.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Sale and Delivery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basis of the representations, warranties and agreements herein contained, and subject to the terms and conditions herein set forth, the Company agrees to issue and sell through or to the Managers, as sales agents and/or principals, as and when it provides instructions, in its discretion, for the sale of the Shares, and each Manager agrees to use its commercially reasonable efforts, consistent with its normal trading and sales practices and applicable law and regulations, to sell, as sales agent for the Company, Shares on the terms set forth below. Notwithstanding anything to the contrary in this Agreement, any Manager may decline, for any reason in its sole discretion, to act as sales agent for the Company hereunder with respect to one or more sets of Company instructions for the sale of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296"/>
        <w:spacing w:after="0" w:line="284" w:lineRule="auto"/>
        <w:rPr>
          <w:sz w:val="20"/>
          <w:szCs w:val="20"/>
          <w:color w:val="auto"/>
        </w:rPr>
      </w:pPr>
      <w:r>
        <w:rPr>
          <w:rFonts w:ascii="Arial" w:cs="Arial" w:eastAsia="Arial" w:hAnsi="Arial"/>
          <w:sz w:val="16"/>
          <w:szCs w:val="16"/>
          <w:color w:val="010000"/>
        </w:rPr>
        <w:t>(a)</w:t>
      </w:r>
      <w:r>
        <w:rPr>
          <w:rFonts w:ascii="Arial" w:cs="Arial" w:eastAsia="Arial" w:hAnsi="Arial"/>
          <w:sz w:val="16"/>
          <w:szCs w:val="16"/>
          <w:color w:val="000000"/>
        </w:rPr>
        <w:t>            The Shares are to be sold by one of the Managers on a daily basis or otherwise as shall be mutually agreed upon by the Company</w:t>
      </w:r>
      <w:r>
        <w:rPr>
          <w:rFonts w:ascii="Arial" w:cs="Arial" w:eastAsia="Arial" w:hAnsi="Arial"/>
          <w:sz w:val="16"/>
          <w:szCs w:val="16"/>
          <w:color w:val="010000"/>
        </w:rPr>
        <w:t xml:space="preserve"> </w:t>
      </w:r>
      <w:r>
        <w:rPr>
          <w:rFonts w:ascii="Arial" w:cs="Arial" w:eastAsia="Arial" w:hAnsi="Arial"/>
          <w:sz w:val="16"/>
          <w:szCs w:val="16"/>
          <w:color w:val="000000"/>
        </w:rPr>
        <w:t>and the Managers on any day which is a trading day on the Nasdaq (each a “</w:t>
      </w:r>
      <w:r>
        <w:rPr>
          <w:rFonts w:ascii="Arial" w:cs="Arial" w:eastAsia="Arial" w:hAnsi="Arial"/>
          <w:sz w:val="16"/>
          <w:szCs w:val="16"/>
          <w:u w:val="single" w:color="auto"/>
          <w:color w:val="000000"/>
        </w:rPr>
        <w:t>Trading Day</w:t>
      </w:r>
      <w:r>
        <w:rPr>
          <w:rFonts w:ascii="Arial" w:cs="Arial" w:eastAsia="Arial" w:hAnsi="Arial"/>
          <w:sz w:val="16"/>
          <w:szCs w:val="16"/>
          <w:color w:val="000000"/>
        </w:rPr>
        <w:t xml:space="preserve">”) on which (A) the Company, through any of the individuals listed as authorized representatives of the Company on </w:t>
      </w:r>
      <w:r>
        <w:rPr>
          <w:rFonts w:ascii="Arial" w:cs="Arial" w:eastAsia="Arial" w:hAnsi="Arial"/>
          <w:sz w:val="16"/>
          <w:szCs w:val="16"/>
          <w:u w:val="single" w:color="auto"/>
          <w:color w:val="000000"/>
        </w:rPr>
        <w:t>Schedule A</w:t>
      </w:r>
      <w:r>
        <w:rPr>
          <w:rFonts w:ascii="Arial" w:cs="Arial" w:eastAsia="Arial" w:hAnsi="Arial"/>
          <w:sz w:val="16"/>
          <w:szCs w:val="16"/>
          <w:color w:val="000000"/>
        </w:rPr>
        <w:t xml:space="preserve"> hereto, as such </w:t>
      </w:r>
      <w:r>
        <w:rPr>
          <w:rFonts w:ascii="Arial" w:cs="Arial" w:eastAsia="Arial" w:hAnsi="Arial"/>
          <w:sz w:val="16"/>
          <w:szCs w:val="16"/>
          <w:u w:val="single" w:color="auto"/>
          <w:color w:val="000000"/>
        </w:rPr>
        <w:t>Schedule A</w:t>
      </w:r>
      <w:r>
        <w:rPr>
          <w:rFonts w:ascii="Arial" w:cs="Arial" w:eastAsia="Arial" w:hAnsi="Arial"/>
          <w:sz w:val="16"/>
          <w:szCs w:val="16"/>
          <w:color w:val="000000"/>
        </w:rPr>
        <w:t xml:space="preserve"> may be amended from time to time (the “</w:t>
      </w:r>
      <w:r>
        <w:rPr>
          <w:rFonts w:ascii="Arial" w:cs="Arial" w:eastAsia="Arial" w:hAnsi="Arial"/>
          <w:sz w:val="16"/>
          <w:szCs w:val="16"/>
          <w:u w:val="single" w:color="auto"/>
          <w:color w:val="000000"/>
        </w:rPr>
        <w:t>Authorized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Representatives</w:t>
      </w:r>
      <w:r>
        <w:rPr>
          <w:rFonts w:ascii="Arial" w:cs="Arial" w:eastAsia="Arial" w:hAnsi="Arial"/>
          <w:sz w:val="16"/>
          <w:szCs w:val="16"/>
          <w:color w:val="000000"/>
        </w:rPr>
        <w:t xml:space="preserve">”), has instructed such Manager (with notice of such instruction to each of the other Authorized Representatives at such time) to make such sales and (B) the Company has satisfied its obligations under Sections 4, 5 and 6 hereof. On a Trading Day that the Company wishes to sell the Shares, the Company may sell the Shares through only one Manager and, if it determines to do so in its discretion, the Company will designate (x) in a notice delivered by electronic mail substantially in the form attached as </w:t>
      </w:r>
      <w:r>
        <w:rPr>
          <w:rFonts w:ascii="Arial" w:cs="Arial" w:eastAsia="Arial" w:hAnsi="Arial"/>
          <w:sz w:val="16"/>
          <w:szCs w:val="16"/>
          <w:u w:val="single" w:color="auto"/>
          <w:color w:val="000000"/>
        </w:rPr>
        <w:t>Exhibit 3(a)(i</w:t>
      </w:r>
      <w:r>
        <w:rPr>
          <w:rFonts w:ascii="Arial" w:cs="Arial" w:eastAsia="Arial" w:hAnsi="Arial"/>
          <w:sz w:val="16"/>
          <w:szCs w:val="16"/>
          <w:color w:val="000000"/>
        </w:rPr>
        <w:t xml:space="preserve">) hereto or (y) by telephone (confirmed promptly by electronic mail substantially in the form attached as </w:t>
      </w:r>
      <w:r>
        <w:rPr>
          <w:rFonts w:ascii="Arial" w:cs="Arial" w:eastAsia="Arial" w:hAnsi="Arial"/>
          <w:sz w:val="16"/>
          <w:szCs w:val="16"/>
          <w:u w:val="single" w:color="auto"/>
          <w:color w:val="000000"/>
        </w:rPr>
        <w:t>Exhibit 3(a)(i)</w:t>
      </w:r>
      <w:r>
        <w:rPr>
          <w:rFonts w:ascii="Arial" w:cs="Arial" w:eastAsia="Arial" w:hAnsi="Arial"/>
          <w:sz w:val="16"/>
          <w:szCs w:val="16"/>
          <w:color w:val="000000"/>
        </w:rPr>
        <w:t xml:space="preserve"> hereto) the maximum amount of the Shares to be sold by such Manager daily as agreed to by such Manager (in any event the Company shall not instruct such Manager to sell Shares in excess of the amount available for issuance under the Prospectus and the Registration Statement or in an amount in excess of the amount of Shares authorized from time to time to be issued and sold under this Agreement or, together with all sales of the Shares under this Agreement, any minimum price below which sales of the Shares may not be effected) and any other limitations specified by the Company and mutually agreed by such Manager. On any Trading Day, the Company shall give at least one business day’s prior notice (confirmed promptly by electronic mail) to the relevant Manager as to any change of the Manager through whom sales of the Shares as sales agent will be made. The Manager through whom sales of the Shares as sales agent are then being made pursuant to this Section 3(a) is referred to as the “</w:t>
      </w:r>
      <w:r>
        <w:rPr>
          <w:rFonts w:ascii="Arial" w:cs="Arial" w:eastAsia="Arial" w:hAnsi="Arial"/>
          <w:sz w:val="16"/>
          <w:szCs w:val="16"/>
          <w:u w:val="single" w:color="auto"/>
          <w:color w:val="000000"/>
        </w:rPr>
        <w:t>Selling Manager</w:t>
      </w:r>
      <w:r>
        <w:rPr>
          <w:rFonts w:ascii="Arial" w:cs="Arial" w:eastAsia="Arial" w:hAnsi="Arial"/>
          <w:sz w:val="16"/>
          <w:szCs w:val="16"/>
          <w:color w:val="000000"/>
        </w:rPr>
        <w:t>”. For the avoidance of doubt, the foregoing limitation shall not apply to sales solely to employees or other security holders of the Company Parties or to a trustee or other person acquiring the Shares for the accounts of such persons in which BofA, Barclays or Citi is acting for the Company in a capacity other than as Manager under this Agreement. Subject to the terms and conditions of this Section 3(a), the Managers may sell the Shares by any method permitted by law including, without limitation, an “at the market offering” as defined in Rule 415 under the Act or sales made by means of ordinary brokers’ transactions, to or through a market maker at market prices prevailing at the time of sale, at prices related to prevailing market prices or at negotiated prices (such transactions are hereinafter referred to as “</w:t>
      </w:r>
      <w:r>
        <w:rPr>
          <w:rFonts w:ascii="Arial" w:cs="Arial" w:eastAsia="Arial" w:hAnsi="Arial"/>
          <w:sz w:val="16"/>
          <w:szCs w:val="16"/>
          <w:u w:val="single" w:color="auto"/>
          <w:color w:val="000000"/>
        </w:rPr>
        <w:t>At the Market Offerings</w:t>
      </w:r>
      <w:r>
        <w:rPr>
          <w:rFonts w:ascii="Arial" w:cs="Arial" w:eastAsia="Arial" w:hAnsi="Arial"/>
          <w:sz w:val="16"/>
          <w:szCs w:val="16"/>
          <w:color w:val="000000"/>
        </w:rPr>
        <w:t xml:space="preserve">”). Subject to the terms and conditions of this Section 3(a) and the other terms and conditions specified herein (including, without limitation, the accuracy of the representations and warranties of the Company and the performance by the Company of its covenants and other obligations contained herein and the satisfaction of the additional conditions specified in Section 6 hereof), the applicable Manager shall use its commercially reasonable efforts consistent with its normal trading and sales practices to offer and sell all of the Shares designated;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the Managers shall have no obligation to offer or sell any Shares, and the Company acknowledges and agrees that the Managers shall have no such obligation, in the event that an offer or sale of the Shares on behalf of the Company in the reasonable judgment of a Manager may cause such Manager to be deemed to be an “underwriter” under the Act in a transaction that is other than by means of ordinary brokers’ transactions between members of the Nasdaq that qualify for delivery of a Prospectus to the Nasdaq in accordance with Rule 153 under the Act.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(b)</w:t>
      </w:r>
      <w:r>
        <w:rPr>
          <w:rFonts w:ascii="Arial" w:cs="Arial" w:eastAsia="Arial" w:hAnsi="Arial"/>
          <w:sz w:val="18"/>
          <w:szCs w:val="18"/>
          <w:color w:val="000000"/>
        </w:rPr>
        <w:t>            Each of the Managers hereby covenants and agrees not to make any sales of the Shares on behalf of the Company, pursuant to this</w:t>
      </w:r>
      <w:r>
        <w:rPr>
          <w:rFonts w:ascii="Arial" w:cs="Arial" w:eastAsia="Arial" w:hAnsi="Arial"/>
          <w:sz w:val="18"/>
          <w:szCs w:val="18"/>
          <w:color w:val="010000"/>
        </w:rPr>
        <w:t xml:space="preserve"> </w:t>
      </w:r>
      <w:r>
        <w:rPr>
          <w:rFonts w:ascii="Arial" w:cs="Arial" w:eastAsia="Arial" w:hAnsi="Arial"/>
          <w:sz w:val="18"/>
          <w:szCs w:val="18"/>
          <w:color w:val="000000"/>
        </w:rPr>
        <w:t>Section 3, other than (A) by means of At the Market Offerings and (B) such other sales of the Shares on behalf of the Company in its capacity as agent of the Company as shall be mutually agreed upon by the Company and such Manager.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75" w:lineRule="auto"/>
        <w:rPr>
          <w:sz w:val="20"/>
          <w:szCs w:val="20"/>
          <w:color w:val="auto"/>
        </w:rPr>
      </w:pPr>
      <w:r>
        <w:rPr>
          <w:rFonts w:ascii="Arial" w:cs="Arial" w:eastAsia="Arial" w:hAnsi="Arial"/>
          <w:sz w:val="17"/>
          <w:szCs w:val="17"/>
          <w:color w:val="010000"/>
        </w:rPr>
        <w:t>(c)</w:t>
      </w:r>
      <w:r>
        <w:rPr>
          <w:rFonts w:ascii="Arial" w:cs="Arial" w:eastAsia="Arial" w:hAnsi="Arial"/>
          <w:sz w:val="17"/>
          <w:szCs w:val="17"/>
          <w:color w:val="000000"/>
        </w:rPr>
        <w:t>            The compensation to each Manager, as agent of the Company, for sales of the Shares hereunder shall be at a mutually agreed rate,</w:t>
      </w:r>
      <w:r>
        <w:rPr>
          <w:rFonts w:ascii="Arial" w:cs="Arial" w:eastAsia="Arial" w:hAnsi="Arial"/>
          <w:sz w:val="17"/>
          <w:szCs w:val="17"/>
          <w:color w:val="010000"/>
        </w:rPr>
        <w:t xml:space="preserve"> </w:t>
      </w:r>
      <w:r>
        <w:rPr>
          <w:rFonts w:ascii="Arial" w:cs="Arial" w:eastAsia="Arial" w:hAnsi="Arial"/>
          <w:sz w:val="17"/>
          <w:szCs w:val="17"/>
          <w:color w:val="000000"/>
        </w:rPr>
        <w:t>not to exceed 2.0% of the actual sale execution price of each Share sold by a Manager on the Nasdaq (as defined below), in the case of ordinary brokers’ transactions, or as otherwise agreed by the parties in other methods of sale (the “</w:t>
      </w:r>
      <w:r>
        <w:rPr>
          <w:rFonts w:ascii="Arial" w:cs="Arial" w:eastAsia="Arial" w:hAnsi="Arial"/>
          <w:sz w:val="17"/>
          <w:szCs w:val="17"/>
          <w:u w:val="single" w:color="auto"/>
          <w:color w:val="000000"/>
        </w:rPr>
        <w:t>Sales Price</w:t>
      </w:r>
      <w:r>
        <w:rPr>
          <w:rFonts w:ascii="Arial" w:cs="Arial" w:eastAsia="Arial" w:hAnsi="Arial"/>
          <w:sz w:val="17"/>
          <w:szCs w:val="17"/>
          <w:color w:val="000000"/>
        </w:rPr>
        <w:t>”) of the Shares sold by such Manager pursuant to this Section 3. The remaining proceeds, after further deduction for any transaction fees imposed by any governmental or self-regulatory organization in respect of such sales, shall constitute the net proceeds to the Company for such Shares (the “</w:t>
      </w:r>
      <w:r>
        <w:rPr>
          <w:rFonts w:ascii="Arial" w:cs="Arial" w:eastAsia="Arial" w:hAnsi="Arial"/>
          <w:sz w:val="17"/>
          <w:szCs w:val="17"/>
          <w:u w:val="single" w:color="auto"/>
          <w:color w:val="000000"/>
        </w:rPr>
        <w:t>Net Proceeds</w:t>
      </w:r>
      <w:r>
        <w:rPr>
          <w:rFonts w:ascii="Arial" w:cs="Arial" w:eastAsia="Arial" w:hAnsi="Arial"/>
          <w:sz w:val="17"/>
          <w:szCs w:val="17"/>
          <w:color w:val="000000"/>
        </w:rPr>
        <w:t>”).</w:t>
      </w:r>
    </w:p>
    <w:p>
      <w:pPr>
        <w:spacing w:after="0" w:line="17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(d)</w:t>
      </w:r>
      <w:r>
        <w:rPr>
          <w:rFonts w:ascii="Arial" w:cs="Arial" w:eastAsia="Arial" w:hAnsi="Arial"/>
          <w:sz w:val="17"/>
          <w:szCs w:val="17"/>
          <w:color w:val="000000"/>
        </w:rPr>
        <w:t>            If the Company wishes to issue and sell the Shares other than as set forth in the foregoing provisions of this Section 3, it will notify</w:t>
      </w:r>
      <w:r>
        <w:rPr>
          <w:rFonts w:ascii="Arial" w:cs="Arial" w:eastAsia="Arial" w:hAnsi="Arial"/>
          <w:sz w:val="17"/>
          <w:szCs w:val="17"/>
          <w:color w:val="010000"/>
        </w:rPr>
        <w:t xml:space="preserve"> </w:t>
      </w:r>
      <w:r>
        <w:rPr>
          <w:rFonts w:ascii="Arial" w:cs="Arial" w:eastAsia="Arial" w:hAnsi="Arial"/>
          <w:sz w:val="17"/>
          <w:szCs w:val="17"/>
          <w:color w:val="000000"/>
        </w:rPr>
        <w:t>a Manager of the proposed terms of such issuance and sale (each, a “</w:t>
      </w:r>
      <w:r>
        <w:rPr>
          <w:rFonts w:ascii="Arial" w:cs="Arial" w:eastAsia="Arial" w:hAnsi="Arial"/>
          <w:sz w:val="17"/>
          <w:szCs w:val="17"/>
          <w:u w:val="single" w:color="auto"/>
          <w:color w:val="000000"/>
        </w:rPr>
        <w:t>Placement</w:t>
      </w:r>
      <w:r>
        <w:rPr>
          <w:rFonts w:ascii="Arial" w:cs="Arial" w:eastAsia="Arial" w:hAnsi="Arial"/>
          <w:sz w:val="17"/>
          <w:szCs w:val="17"/>
          <w:color w:val="000000"/>
        </w:rPr>
        <w:t>”). If such Manager, acting as principal, wishes to accept such proposed terms (which it may decline to do for any reason in its sole discretion) or, following discussions with the Company, wishes to accept amended terms, the Company and such Manager will enter into a Terms Agreement setting forth the terms of such Placement. In the event of a conflict between the terms of this Agreement and the terms of any Terms Agreement, the terms of such Terms Agreement will control.</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(e)</w:t>
      </w:r>
      <w:r>
        <w:rPr>
          <w:rFonts w:ascii="Arial" w:cs="Arial" w:eastAsia="Arial" w:hAnsi="Arial"/>
          <w:sz w:val="17"/>
          <w:szCs w:val="17"/>
          <w:color w:val="000000"/>
        </w:rPr>
        <w:t>            Notwithstanding the foregoing, the Company may instruct the Managers (confirmed promptly by electronic mail) not to sell the</w:t>
      </w:r>
      <w:r>
        <w:rPr>
          <w:rFonts w:ascii="Arial" w:cs="Arial" w:eastAsia="Arial" w:hAnsi="Arial"/>
          <w:sz w:val="17"/>
          <w:szCs w:val="17"/>
          <w:color w:val="010000"/>
        </w:rPr>
        <w:t xml:space="preserve"> </w:t>
      </w:r>
      <w:r>
        <w:rPr>
          <w:rFonts w:ascii="Arial" w:cs="Arial" w:eastAsia="Arial" w:hAnsi="Arial"/>
          <w:sz w:val="17"/>
          <w:szCs w:val="17"/>
          <w:color w:val="000000"/>
        </w:rPr>
        <w:t>Shares if such sales cannot be effected at or above the price designated by the Company in any such instruction. In addition, the Company or any Manager may, upon notice to the other parties hereto (confirmed promptly by electronic mail), suspend the offering of the Shares for a specified period (a “</w:t>
      </w:r>
      <w:r>
        <w:rPr>
          <w:rFonts w:ascii="Arial" w:cs="Arial" w:eastAsia="Arial" w:hAnsi="Arial"/>
          <w:sz w:val="17"/>
          <w:szCs w:val="17"/>
          <w:u w:val="single" w:color="auto"/>
          <w:color w:val="000000"/>
        </w:rPr>
        <w:t>Suspension Period</w:t>
      </w:r>
      <w:r>
        <w:rPr>
          <w:rFonts w:ascii="Arial" w:cs="Arial" w:eastAsia="Arial" w:hAnsi="Arial"/>
          <w:sz w:val="17"/>
          <w:szCs w:val="17"/>
          <w:color w:val="000000"/>
        </w:rPr>
        <w:t xml:space="preserv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xml:space="preserve">, that such Suspension Period shall not affect or impair the parties’ respective obligations with respect to the Shares sold hereunder prior to the giving of such notice and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further</w:t>
      </w:r>
      <w:r>
        <w:rPr>
          <w:rFonts w:ascii="Arial" w:cs="Arial" w:eastAsia="Arial" w:hAnsi="Arial"/>
          <w:sz w:val="17"/>
          <w:szCs w:val="17"/>
          <w:color w:val="000000"/>
        </w:rPr>
        <w:t>, that there shall be no obligations under Sections 4(n), 4(o), 4(p), 4(q) and 4(u) with respect to the delivery of certificates, opinions, or comfort letters to the Managers or the conducting of a due diligence session, in each case, during a Suspension Period, and that such obligations shall recommence on the termination of the Suspension Period.</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(f)</w:t>
      </w:r>
      <w:r>
        <w:rPr>
          <w:rFonts w:ascii="Arial" w:cs="Arial" w:eastAsia="Arial" w:hAnsi="Arial"/>
          <w:sz w:val="18"/>
          <w:szCs w:val="18"/>
          <w:color w:val="000000"/>
        </w:rPr>
        <w:t>            Each Manager shall provide written confirmation to the Company (which may be by electronic mail) as soon as is reasonably</w:t>
      </w:r>
      <w:r>
        <w:rPr>
          <w:rFonts w:ascii="Arial" w:cs="Arial" w:eastAsia="Arial" w:hAnsi="Arial"/>
          <w:sz w:val="18"/>
          <w:szCs w:val="18"/>
          <w:color w:val="010000"/>
        </w:rPr>
        <w:t xml:space="preserve"> </w:t>
      </w:r>
      <w:r>
        <w:rPr>
          <w:rFonts w:ascii="Arial" w:cs="Arial" w:eastAsia="Arial" w:hAnsi="Arial"/>
          <w:sz w:val="18"/>
          <w:szCs w:val="18"/>
          <w:color w:val="000000"/>
        </w:rPr>
        <w:t>practicable following the close of trading on the Nasdaq each day in which the Shares are sold pursuant to Section 3 setting forth (i) the number of Shares sold on such day, (ii) the Net Proceeds to the Company and (iii) the commission payable by the Company to such Manager with respect to such sale of Shares.</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(g)</w:t>
      </w:r>
      <w:r>
        <w:rPr>
          <w:rFonts w:ascii="Arial" w:cs="Arial" w:eastAsia="Arial" w:hAnsi="Arial"/>
          <w:sz w:val="16"/>
          <w:szCs w:val="16"/>
          <w:color w:val="000000"/>
        </w:rPr>
        <w:t>            Settlement for sales of the Shares pursuant to this Agreement will occur on the second business day that is also a trading day on the</w:t>
      </w:r>
      <w:r>
        <w:rPr>
          <w:rFonts w:ascii="Arial" w:cs="Arial" w:eastAsia="Arial" w:hAnsi="Arial"/>
          <w:sz w:val="16"/>
          <w:szCs w:val="16"/>
          <w:color w:val="010000"/>
        </w:rPr>
        <w:t xml:space="preserve"> </w:t>
      </w:r>
      <w:r>
        <w:rPr>
          <w:rFonts w:ascii="Arial" w:cs="Arial" w:eastAsia="Arial" w:hAnsi="Arial"/>
          <w:sz w:val="16"/>
          <w:szCs w:val="16"/>
          <w:color w:val="000000"/>
        </w:rPr>
        <w:t>Nasdaq following the date on which such sales are made (each such date, a “</w:t>
      </w:r>
      <w:r>
        <w:rPr>
          <w:rFonts w:ascii="Arial" w:cs="Arial" w:eastAsia="Arial" w:hAnsi="Arial"/>
          <w:sz w:val="16"/>
          <w:szCs w:val="16"/>
          <w:u w:val="single" w:color="auto"/>
          <w:color w:val="000000"/>
        </w:rPr>
        <w:t>Settlement Date</w:t>
      </w:r>
      <w:r>
        <w:rPr>
          <w:rFonts w:ascii="Arial" w:cs="Arial" w:eastAsia="Arial" w:hAnsi="Arial"/>
          <w:sz w:val="16"/>
          <w:szCs w:val="16"/>
          <w:color w:val="000000"/>
        </w:rPr>
        <w:t>”). On each Settlement Date, the Shares sold through a Manager for settlement on such date shall be issued and delivered by the Company to such Manager against payment of the Net Proceeds, or, at such Manager’s election, the gross proceeds, for the sale of such Shares. Settlement for all such Shares shall be effected by free delivery of the Shares by the Company or its transfer agent to such Manager’s account, or to the account of such Manager’s designee, at The Depository Trust Company through its Deposit and Withdrawal at Custodian System (“</w:t>
      </w:r>
      <w:r>
        <w:rPr>
          <w:rFonts w:ascii="Arial" w:cs="Arial" w:eastAsia="Arial" w:hAnsi="Arial"/>
          <w:sz w:val="16"/>
          <w:szCs w:val="16"/>
          <w:u w:val="single" w:color="auto"/>
          <w:color w:val="000000"/>
        </w:rPr>
        <w:t>DTC</w:t>
      </w:r>
      <w:r>
        <w:rPr>
          <w:rFonts w:ascii="Arial" w:cs="Arial" w:eastAsia="Arial" w:hAnsi="Arial"/>
          <w:sz w:val="16"/>
          <w:szCs w:val="16"/>
          <w:color w:val="000000"/>
        </w:rPr>
        <w:t>”) or by such other means of delivery as may be mutually agreed upon by the parties hereto, which in all cases shall be freely tradable, transferable, registered units in good deliverable form, in return for payments in same day funds delivered to the account designated by the Company. In the event that the relevant Manager delivers the gross proceeds of a given sale of Shares to the Company on a Settlement Date, the compensation payable to such Manager for such sale shall be set forth and invoiced in a periodic statement from the Manager to the Company and payment of such compensation shall be made promptly by the Company as directed by such Manager after the Company’s receipt of such periodic statement. If the Company, or its transfer agent (if applicable), shall default upon its obligation to deliver the Shares on any Settlement Date, in addition to and in no way limiting the rights and obligations set forth in this Agreement, the Company shall (A) indemnify and hold such Manager harmless against any loss, claim or damage arising from or as a result of such default by the Company and (B) pay such Manager any commission to which it would otherwise be entitled absent such default. Any Authorized Representative shall be a permissible contact person for the Company for all matters related to the settlement of the transfer of the Shares through DTC for purposes of this Section.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296"/>
        <w:spacing w:after="0" w:line="259" w:lineRule="auto"/>
        <w:rPr>
          <w:sz w:val="20"/>
          <w:szCs w:val="20"/>
          <w:color w:val="auto"/>
        </w:rPr>
      </w:pPr>
      <w:r>
        <w:rPr>
          <w:rFonts w:ascii="Arial" w:cs="Arial" w:eastAsia="Arial" w:hAnsi="Arial"/>
          <w:sz w:val="18"/>
          <w:szCs w:val="18"/>
          <w:color w:val="010000"/>
        </w:rPr>
        <w:t>(h)</w:t>
      </w:r>
      <w:r>
        <w:rPr>
          <w:rFonts w:ascii="Arial" w:cs="Arial" w:eastAsia="Arial" w:hAnsi="Arial"/>
          <w:sz w:val="18"/>
          <w:szCs w:val="18"/>
          <w:color w:val="000000"/>
        </w:rPr>
        <w:t>            At each Representation Date the Company shall be deemed to have affirmed each representation and warranty contained in this</w:t>
      </w:r>
      <w:r>
        <w:rPr>
          <w:rFonts w:ascii="Arial" w:cs="Arial" w:eastAsia="Arial" w:hAnsi="Arial"/>
          <w:sz w:val="18"/>
          <w:szCs w:val="18"/>
          <w:color w:val="010000"/>
        </w:rPr>
        <w:t xml:space="preserve"> </w:t>
      </w:r>
      <w:r>
        <w:rPr>
          <w:rFonts w:ascii="Arial" w:cs="Arial" w:eastAsia="Arial" w:hAnsi="Arial"/>
          <w:sz w:val="18"/>
          <w:szCs w:val="18"/>
          <w:color w:val="000000"/>
        </w:rPr>
        <w:t>Agreement. Any obligation of any Manager to use its commercially reasonable efforts to sell the Shares shall be subject to the continuing accuracy of the representations and warranties of the Company herein, to the performance by the Company of its obligations hereunder and to the continuing satisfaction of the additional conditions specified in Section 6 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(i)</w:t>
      </w:r>
      <w:r>
        <w:rPr>
          <w:rFonts w:ascii="Arial" w:cs="Arial" w:eastAsia="Arial" w:hAnsi="Arial"/>
          <w:sz w:val="16"/>
          <w:szCs w:val="16"/>
          <w:color w:val="000000"/>
        </w:rPr>
        <w:t>            Under no circumstances shall the aggregate gross proceeds of the Shares sold pursuant to this Agreement exceed the lesser of</w:t>
      </w:r>
    </w:p>
    <w:p>
      <w:pPr>
        <w:spacing w:after="0" w:line="46" w:lineRule="exact"/>
        <w:rPr>
          <w:sz w:val="20"/>
          <w:szCs w:val="20"/>
          <w:color w:val="auto"/>
        </w:rPr>
      </w:pPr>
    </w:p>
    <w:p>
      <w:pPr>
        <w:jc w:val="both"/>
        <w:ind w:firstLine="8"/>
        <w:spacing w:after="0" w:line="271"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set forth in Section 1 hereof and (B) the amount available for offer and sale under the Registration Statement, nor shall the aggregate amount of Shares sold pursuant to this Agreement exceed the amount of Shares authorized to be issued and sold from time to time under this Agreement by the Board of Directors of the Company, or a duly authorized committee thereof, and notified to the Managers in writing. The Managers shall have no responsibility for maintaining records with respect to Shares available for offer or sale under the Registration Statement or for determining the aggregate gross proceeds, number or minimum price of Shares duly authorized by the Company.</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(j)</w:t>
      </w:r>
      <w:r>
        <w:rPr>
          <w:rFonts w:ascii="Arial" w:cs="Arial" w:eastAsia="Arial" w:hAnsi="Arial"/>
          <w:sz w:val="18"/>
          <w:szCs w:val="18"/>
          <w:color w:val="000000"/>
        </w:rPr>
        <w:t>            Each offer and sale of the Shares through or to any Manager shall be made in accordance with the terms of this Agreement or, if</w:t>
      </w:r>
      <w:r>
        <w:rPr>
          <w:rFonts w:ascii="Arial" w:cs="Arial" w:eastAsia="Arial" w:hAnsi="Arial"/>
          <w:sz w:val="18"/>
          <w:szCs w:val="18"/>
          <w:color w:val="010000"/>
        </w:rPr>
        <w:t xml:space="preserve"> </w:t>
      </w:r>
      <w:r>
        <w:rPr>
          <w:rFonts w:ascii="Arial" w:cs="Arial" w:eastAsia="Arial" w:hAnsi="Arial"/>
          <w:sz w:val="18"/>
          <w:szCs w:val="18"/>
          <w:color w:val="000000"/>
        </w:rPr>
        <w:t>applicable, a Terms Agreement. The applicable Manager’s commitment, if any, to purchase Shares from the Company as principal shall be deemed to have been made on the basis of the accuracy of the representations and warranties of the Company, and performance by the Company of its covenants and other obligations, herein contained and shall be subject to the terms and conditions herein set forth. At the time of each Terms Agreement the applicable Manager shall specify the requirements, if any, for the officers’ certificate, opinions, letters of counsel and comfort letters and due diligence session pursuant to this Agreement.</w:t>
      </w:r>
    </w:p>
    <w:p>
      <w:pPr>
        <w:spacing w:after="0" w:line="19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(k)</w:t>
      </w:r>
      <w:r>
        <w:rPr>
          <w:rFonts w:ascii="Arial" w:cs="Arial" w:eastAsia="Arial" w:hAnsi="Arial"/>
          <w:sz w:val="16"/>
          <w:szCs w:val="16"/>
          <w:color w:val="000000"/>
        </w:rPr>
        <w:t>            Subject to the limitations set forth herein and except as otherwise may be mutually agreed upon by the Company and the</w:t>
      </w:r>
      <w:r>
        <w:rPr>
          <w:rFonts w:ascii="Arial" w:cs="Arial" w:eastAsia="Arial" w:hAnsi="Arial"/>
          <w:sz w:val="16"/>
          <w:szCs w:val="16"/>
          <w:color w:val="010000"/>
        </w:rPr>
        <w:t xml:space="preserve"> </w:t>
      </w:r>
      <w:r>
        <w:rPr>
          <w:rFonts w:ascii="Arial" w:cs="Arial" w:eastAsia="Arial" w:hAnsi="Arial"/>
          <w:sz w:val="16"/>
          <w:szCs w:val="16"/>
          <w:color w:val="000000"/>
        </w:rPr>
        <w:t>Managers, sales effected pursuant to this Agreement may not be requested by the Company and need not be made by any Manager during the 14 calendar days prior to the date (each, an “</w:t>
      </w:r>
      <w:r>
        <w:rPr>
          <w:rFonts w:ascii="Arial" w:cs="Arial" w:eastAsia="Arial" w:hAnsi="Arial"/>
          <w:sz w:val="16"/>
          <w:szCs w:val="16"/>
          <w:u w:val="single" w:color="auto"/>
          <w:color w:val="000000"/>
        </w:rPr>
        <w:t>Announcement Date</w:t>
      </w:r>
      <w:r>
        <w:rPr>
          <w:rFonts w:ascii="Arial" w:cs="Arial" w:eastAsia="Arial" w:hAnsi="Arial"/>
          <w:sz w:val="16"/>
          <w:szCs w:val="16"/>
          <w:color w:val="000000"/>
        </w:rPr>
        <w:t>”) on which the Company shall issue a press release containing, or shall otherwise publicly announce, its earnings, revenues or other results of operations (each, an “</w:t>
      </w:r>
      <w:r>
        <w:rPr>
          <w:rFonts w:ascii="Arial" w:cs="Arial" w:eastAsia="Arial" w:hAnsi="Arial"/>
          <w:sz w:val="16"/>
          <w:szCs w:val="16"/>
          <w:u w:val="single" w:color="auto"/>
          <w:color w:val="000000"/>
        </w:rPr>
        <w:t>Earnings Announcement</w:t>
      </w:r>
      <w:r>
        <w:rPr>
          <w:rFonts w:ascii="Arial" w:cs="Arial" w:eastAsia="Arial" w:hAnsi="Arial"/>
          <w:sz w:val="16"/>
          <w:szCs w:val="16"/>
          <w:color w:val="000000"/>
        </w:rPr>
        <w:t>”), (ii) at any time from and including an Announcement Date through and including the later to occur of (A) the day that the Company files a Quarterly Report on Form 10-Q or an Annual Report on Form 10-K that includes consolidated financial statements as of and for the same period or periods, as the case may be, covered by such Earnings Announcement, and</w:t>
      </w:r>
    </w:p>
    <w:p>
      <w:pPr>
        <w:spacing w:after="0" w:line="4" w:lineRule="exact"/>
        <w:rPr>
          <w:sz w:val="20"/>
          <w:szCs w:val="20"/>
          <w:color w:val="auto"/>
        </w:rPr>
      </w:pPr>
    </w:p>
    <w:p>
      <w:pPr>
        <w:ind w:firstLine="8"/>
        <w:spacing w:after="0" w:line="260" w:lineRule="auto"/>
        <w:tabs>
          <w:tab w:leader="none" w:pos="29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Bring-Down Delivery Date of the Company referenced in Section 4(n) below, or (iii) during any other period in which the Company is, or could be deemed to be, in possession of material non-public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300"/>
        <w:spacing w:after="0"/>
        <w:rPr>
          <w:sz w:val="20"/>
          <w:szCs w:val="20"/>
          <w:color w:val="auto"/>
        </w:rPr>
      </w:pPr>
      <w:r>
        <w:rPr>
          <w:rFonts w:ascii="Arial" w:cs="Arial" w:eastAsia="Arial" w:hAnsi="Arial"/>
          <w:sz w:val="15"/>
          <w:szCs w:val="15"/>
          <w:color w:val="010000"/>
        </w:rPr>
        <w:t>(l)</w:t>
      </w:r>
      <w:r>
        <w:rPr>
          <w:rFonts w:ascii="Arial" w:cs="Arial" w:eastAsia="Arial" w:hAnsi="Arial"/>
          <w:sz w:val="15"/>
          <w:szCs w:val="15"/>
          <w:color w:val="000000"/>
        </w:rPr>
        <w:t>            The Company acknowledges and agrees that (i) there can be no assurance that any Manager will be successful in selling the Shares,</w:t>
      </w:r>
    </w:p>
    <w:p>
      <w:pPr>
        <w:spacing w:after="0" w:line="58" w:lineRule="exact"/>
        <w:rPr>
          <w:sz w:val="20"/>
          <w:szCs w:val="20"/>
          <w:color w:val="auto"/>
        </w:rPr>
      </w:pPr>
    </w:p>
    <w:p>
      <w:pPr>
        <w:jc w:val="both"/>
        <w:ind w:firstLine="8"/>
        <w:spacing w:after="0" w:line="253"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Manager will incur liability or obligation to the Company or any other person or entity if it does not sell Shares for any reason other than a failure by such Manager to use its commercially reasonable efforts to sell such Shares in accordance with the terms of this Agreement, and (iii) no Manager shall be under any obligation to purchase Shares on a principal basis pursuant to this Agreement except as otherwise specifically agreed by such Manager and the Company pursuant to a Terms Agreement.</w:t>
      </w:r>
    </w:p>
    <w:p>
      <w:pPr>
        <w:spacing w:after="0" w:line="19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(m)</w:t>
      </w:r>
      <w:r>
        <w:rPr>
          <w:rFonts w:ascii="Arial" w:cs="Arial" w:eastAsia="Arial" w:hAnsi="Arial"/>
          <w:sz w:val="17"/>
          <w:szCs w:val="17"/>
          <w:color w:val="000000"/>
        </w:rPr>
        <w:t>            If either the Company or the Managers has reason to believe that the exemptive provisions set forth in Rule 101(c)(1) of</w:t>
      </w:r>
      <w:r>
        <w:rPr>
          <w:rFonts w:ascii="Arial" w:cs="Arial" w:eastAsia="Arial" w:hAnsi="Arial"/>
          <w:sz w:val="17"/>
          <w:szCs w:val="17"/>
          <w:color w:val="010000"/>
        </w:rPr>
        <w:t xml:space="preserve"> </w:t>
      </w:r>
      <w:r>
        <w:rPr>
          <w:rFonts w:ascii="Arial" w:cs="Arial" w:eastAsia="Arial" w:hAnsi="Arial"/>
          <w:sz w:val="17"/>
          <w:szCs w:val="17"/>
          <w:color w:val="000000"/>
        </w:rPr>
        <w:t>Regulation M under the Exchange Act are not satisfied with respect to the Shares, it shall promptly notify the other parties, and sales of the Shares under this Agreement shall be suspended until that or other exemptive provisions have been satisfied in the judgment of each party.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Covenants of the Company</w:t>
      </w:r>
      <w:r>
        <w:rPr>
          <w:rFonts w:ascii="Arial" w:cs="Arial" w:eastAsia="Arial" w:hAnsi="Arial"/>
          <w:sz w:val="18"/>
          <w:szCs w:val="18"/>
          <w:color w:val="auto"/>
        </w:rPr>
        <w:t>. The Company agrees with the Managers as follows: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(a)</w:t>
      </w:r>
      <w:r>
        <w:rPr>
          <w:rFonts w:ascii="Arial" w:cs="Arial" w:eastAsia="Arial" w:hAnsi="Arial"/>
          <w:sz w:val="18"/>
          <w:szCs w:val="18"/>
          <w:color w:val="000000"/>
        </w:rPr>
        <w:t>            During the period in which a prospectus relating to the Shares is required to be delivered under the Act (whether physically,</w:t>
      </w:r>
      <w:r>
        <w:rPr>
          <w:rFonts w:ascii="Arial" w:cs="Arial" w:eastAsia="Arial" w:hAnsi="Arial"/>
          <w:sz w:val="18"/>
          <w:szCs w:val="18"/>
          <w:color w:val="010000"/>
        </w:rPr>
        <w:t xml:space="preserve"> </w:t>
      </w:r>
      <w:r>
        <w:rPr>
          <w:rFonts w:ascii="Arial" w:cs="Arial" w:eastAsia="Arial" w:hAnsi="Arial"/>
          <w:sz w:val="18"/>
          <w:szCs w:val="18"/>
          <w:color w:val="000000"/>
        </w:rPr>
        <w:t>deemed to be delivered pursuant to Rule 153 or through compliance with Rule 172 under the Act or any similar rule), to notify the Managers promptly of the time when any amendment to the Registration Statement has become effective or any amendment or supplement to the Prospectus has been filed by means of the Commission’s EDGAR system; to prepare and file with the Commission, promptly upon the Managers’ request, any amendments or supplements to the Registration Statement or the Prospectus that, in the Managers’ reasonable opinion, may be necessary or advisable in connection with the offer of the Shares by the Managers; and to cause each amendment or supplement to the Prospectus to be filed with the Commission as required pursuant to the applicable paragraph of Rule 424(b) of the Act.</w:t>
      </w:r>
    </w:p>
    <w:p>
      <w:pPr>
        <w:spacing w:after="0" w:line="19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(b)</w:t>
      </w:r>
      <w:r>
        <w:rPr>
          <w:rFonts w:ascii="Arial" w:cs="Arial" w:eastAsia="Arial" w:hAnsi="Arial"/>
          <w:sz w:val="18"/>
          <w:szCs w:val="18"/>
          <w:color w:val="000000"/>
        </w:rPr>
        <w:t>            To pay the required Commission filing fees relating to the Shares within the time required by Rule 456(b)(1) of the Act without</w:t>
      </w:r>
      <w:r>
        <w:rPr>
          <w:rFonts w:ascii="Arial" w:cs="Arial" w:eastAsia="Arial" w:hAnsi="Arial"/>
          <w:sz w:val="18"/>
          <w:szCs w:val="18"/>
          <w:color w:val="010000"/>
        </w:rPr>
        <w:t xml:space="preserve"> </w:t>
      </w:r>
      <w:r>
        <w:rPr>
          <w:rFonts w:ascii="Arial" w:cs="Arial" w:eastAsia="Arial" w:hAnsi="Arial"/>
          <w:sz w:val="18"/>
          <w:szCs w:val="18"/>
          <w:color w:val="000000"/>
        </w:rPr>
        <w:t>regard to the proviso therein and otherwise in accordance with Rules 456(b) and 457(r) of the Act.</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(c)</w:t>
      </w:r>
      <w:r>
        <w:rPr>
          <w:rFonts w:ascii="Arial" w:cs="Arial" w:eastAsia="Arial" w:hAnsi="Arial"/>
          <w:sz w:val="17"/>
          <w:szCs w:val="17"/>
          <w:color w:val="000000"/>
        </w:rPr>
        <w:t>            To promptly advise the Managers, confirming such advice in writing (which may be made by electronic mail), of any request by</w:t>
      </w:r>
      <w:r>
        <w:rPr>
          <w:rFonts w:ascii="Arial" w:cs="Arial" w:eastAsia="Arial" w:hAnsi="Arial"/>
          <w:sz w:val="17"/>
          <w:szCs w:val="17"/>
          <w:color w:val="010000"/>
        </w:rPr>
        <w:t xml:space="preserve"> </w:t>
      </w:r>
      <w:r>
        <w:rPr>
          <w:rFonts w:ascii="Arial" w:cs="Arial" w:eastAsia="Arial" w:hAnsi="Arial"/>
          <w:sz w:val="17"/>
          <w:szCs w:val="17"/>
          <w:color w:val="000000"/>
        </w:rPr>
        <w:t>the Commission for amendments or supplements to the Registration Statement, the Base Prospectus or the Prospectus or for additional information with respect thereto, or of notice of examination, institution of proceedings for, or the entry of a stop order suspending the effectiveness of the Registration Statement or pursuant to Section 8A of the Act and, if the Commission should enter a stop order suspending the effectiveness of the Registration Statement or take any action with respect to such Section 8A, to use its commercially reasonable efforts to obtain the lifting or removal of such order or resolution of such action, as applicable, as soon as possible; to promptly advise the Managers of any proposal to amend or supplement the Registration Statement, the Base Prospectus or the Prospectus, and to provide the Managers and counsel for the Managers copies of any such documents (excluding any documents incorporated or deemed incorporated therein by reference) for review and comment in a reasonable amount of time prior to any proposed filing and to file no such amendment or supplement (other than any prospectus supplement relating to the offering of other securities (including, without limitation, Common Stock)) to which the Managers, shall have objected in writing.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296"/>
        <w:spacing w:after="0" w:line="271" w:lineRule="auto"/>
        <w:rPr>
          <w:sz w:val="20"/>
          <w:szCs w:val="20"/>
          <w:color w:val="auto"/>
        </w:rPr>
      </w:pPr>
      <w:r>
        <w:rPr>
          <w:rFonts w:ascii="Arial" w:cs="Arial" w:eastAsia="Arial" w:hAnsi="Arial"/>
          <w:sz w:val="17"/>
          <w:szCs w:val="17"/>
          <w:color w:val="010000"/>
        </w:rPr>
        <w:t>(d)</w:t>
      </w:r>
      <w:r>
        <w:rPr>
          <w:rFonts w:ascii="Arial" w:cs="Arial" w:eastAsia="Arial" w:hAnsi="Arial"/>
          <w:sz w:val="17"/>
          <w:szCs w:val="17"/>
          <w:color w:val="000000"/>
        </w:rPr>
        <w:t>            To make available to the Managers, as soon as practicable after the date of this Agreement, and thereafter from time to time to</w:t>
      </w:r>
      <w:r>
        <w:rPr>
          <w:rFonts w:ascii="Arial" w:cs="Arial" w:eastAsia="Arial" w:hAnsi="Arial"/>
          <w:sz w:val="17"/>
          <w:szCs w:val="17"/>
          <w:color w:val="010000"/>
        </w:rPr>
        <w:t xml:space="preserve"> </w:t>
      </w:r>
      <w:r>
        <w:rPr>
          <w:rFonts w:ascii="Arial" w:cs="Arial" w:eastAsia="Arial" w:hAnsi="Arial"/>
          <w:sz w:val="17"/>
          <w:szCs w:val="17"/>
          <w:color w:val="000000"/>
        </w:rPr>
        <w:t>furnish to the Managers, as many copies of the Prospectus (or of the Prospectus as amended or supplemented at such time if the Company shall have made any amendments or supplements thereto) as the Managers may reasonably request; in case the Managers are required to deliver (whether physically, deemed to be delivered pursuant to Rule 153 or through compliance with Rule 172 under the Act or any similar rule), in connection with the sale of the Shares, a prospectus after the nine-month period referred to in Section 10(a)(3) of the Act, or after the time a post-effective amendment to the Registration Statement is required pursuant to Item 512(a) of Regulation S-K under the Act, the Company will prepare, at its expense, such amendment or amendments to the Registration Statement and the Prospectus as may be necessary to ensure compliance with the requirements of Section 10(a)(3) of the Act or Item 512(a) of Regulation S-K under the Act, as the case may be.</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(e)</w:t>
      </w:r>
      <w:r>
        <w:rPr>
          <w:rFonts w:ascii="Arial" w:cs="Arial" w:eastAsia="Arial" w:hAnsi="Arial"/>
          <w:sz w:val="18"/>
          <w:szCs w:val="18"/>
          <w:color w:val="000000"/>
        </w:rPr>
        <w:t>            Subject to Section 4(c) hereof, to file promptly all reports and documents and any preliminary or definitive proxy or information</w:t>
      </w:r>
      <w:r>
        <w:rPr>
          <w:rFonts w:ascii="Arial" w:cs="Arial" w:eastAsia="Arial" w:hAnsi="Arial"/>
          <w:sz w:val="18"/>
          <w:szCs w:val="18"/>
          <w:color w:val="010000"/>
        </w:rPr>
        <w:t xml:space="preserve"> </w:t>
      </w:r>
      <w:r>
        <w:rPr>
          <w:rFonts w:ascii="Arial" w:cs="Arial" w:eastAsia="Arial" w:hAnsi="Arial"/>
          <w:sz w:val="18"/>
          <w:szCs w:val="18"/>
          <w:color w:val="000000"/>
        </w:rPr>
        <w:t>statement required to be filed by the Company with the Commission in order to comply with the Exchange Act for so long as a prospectus relating to the Shares is required by the Act to be delivered (whether physically, deemed to be delivered pursuant to Rule 153 or through compliance with Rule 172 under the Act or any similar rule) in connection with any sale of Shares and to provide the Managers with a copy of such reports and statements and other documents to be filed by the Company pursuant to Section 13, 14 or 15(d) of the Exchange Act during such period a reasonable amount of time prior to any proposed filing.</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(f)</w:t>
      </w:r>
      <w:r>
        <w:rPr>
          <w:rFonts w:ascii="Arial" w:cs="Arial" w:eastAsia="Arial" w:hAnsi="Arial"/>
          <w:sz w:val="17"/>
          <w:szCs w:val="17"/>
          <w:color w:val="000000"/>
        </w:rPr>
        <w:t>            To promptly notify the Managers of the happening of any event that could require the making of any change in the Registration</w:t>
      </w:r>
      <w:r>
        <w:rPr>
          <w:rFonts w:ascii="Arial" w:cs="Arial" w:eastAsia="Arial" w:hAnsi="Arial"/>
          <w:sz w:val="17"/>
          <w:szCs w:val="17"/>
          <w:color w:val="010000"/>
        </w:rPr>
        <w:t xml:space="preserve"> </w:t>
      </w:r>
      <w:r>
        <w:rPr>
          <w:rFonts w:ascii="Arial" w:cs="Arial" w:eastAsia="Arial" w:hAnsi="Arial"/>
          <w:sz w:val="17"/>
          <w:szCs w:val="17"/>
          <w:color w:val="000000"/>
        </w:rPr>
        <w:t>Statement as then amended or supplemented so that the Registration Statement would not contain an untrue statement of a material fact or omit to state a material fact required to be stated therein or necessary to make the statements therein not misleading and to prepare and furnish, at the Company’s expense, to each Manager promptly such amendments or supplements to such Registration Statement as may be necessary to reflect any such change in such quantities as such Manager may reasonably request. To promptly notify the Managers of the happening of any event that could require the making of any change in the Prospectus as then amended or supplemented so that the Prospectus would not contain an untrue statement of material fact or omit to state a material fact necessary in order to make the statements therein, in the light of the circumstances under which they are made, not misleading, and, during any period during which a prospectus is required to be delivered (whether physically, deemed to be delivered pursuant to Rule 153 or through compliance with Rule 172 under the Act or any similar rule) in connection with any sale of Shares, to prepare and furnish, at the Company’s expense, to each Manager promptly such amendments or supplements to such Prospectus as may be necessary to reflect any such change in such quantities as such Manager may reasonably request.</w:t>
      </w:r>
    </w:p>
    <w:p>
      <w:pPr>
        <w:spacing w:after="0" w:line="18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010000"/>
        </w:rPr>
        <w:t>(g)</w:t>
      </w:r>
      <w:r>
        <w:rPr>
          <w:rFonts w:ascii="Arial" w:cs="Arial" w:eastAsia="Arial" w:hAnsi="Arial"/>
          <w:sz w:val="17"/>
          <w:szCs w:val="17"/>
          <w:color w:val="000000"/>
        </w:rPr>
        <w:t>            To furnish such information as may be required and otherwise cooperate in qualifying the Shares for offer and sale under the</w:t>
      </w:r>
      <w:r>
        <w:rPr>
          <w:rFonts w:ascii="Arial" w:cs="Arial" w:eastAsia="Arial" w:hAnsi="Arial"/>
          <w:sz w:val="17"/>
          <w:szCs w:val="17"/>
          <w:color w:val="010000"/>
        </w:rPr>
        <w:t xml:space="preserve"> </w:t>
      </w:r>
      <w:r>
        <w:rPr>
          <w:rFonts w:ascii="Arial" w:cs="Arial" w:eastAsia="Arial" w:hAnsi="Arial"/>
          <w:sz w:val="17"/>
          <w:szCs w:val="17"/>
          <w:color w:val="000000"/>
        </w:rPr>
        <w:t xml:space="preserve">securities laws of such jurisdictions as the Managers may reasonably designate and to maintain such qualifications in effect so long as required for the distribution of the Shares;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the Company shall not be required to qualify as a foreign corporation or to consent to the service of process under the laws of any such jurisdiction (except service of process with respect to the offering and sale of the Shares); and to promptly advise the Managers of the receipt by the Company of any notification with respect to the suspension of the qualification of the Shares for offer or sale in any jurisdiction or the initiation or threatening in writing of any proceeding for such purpose.</w:t>
      </w:r>
    </w:p>
    <w:p>
      <w:pPr>
        <w:spacing w:after="0" w:line="17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(h)</w:t>
      </w:r>
      <w:r>
        <w:rPr>
          <w:rFonts w:ascii="Arial" w:cs="Arial" w:eastAsia="Arial" w:hAnsi="Arial"/>
          <w:sz w:val="17"/>
          <w:szCs w:val="17"/>
          <w:color w:val="000000"/>
        </w:rPr>
        <w:t>            To make generally available to its security holders, and to deliver to the Managers an earnings statement of the Company (which</w:t>
      </w:r>
      <w:r>
        <w:rPr>
          <w:rFonts w:ascii="Arial" w:cs="Arial" w:eastAsia="Arial" w:hAnsi="Arial"/>
          <w:sz w:val="17"/>
          <w:szCs w:val="17"/>
          <w:color w:val="010000"/>
        </w:rPr>
        <w:t xml:space="preserve"> </w:t>
      </w:r>
      <w:r>
        <w:rPr>
          <w:rFonts w:ascii="Arial" w:cs="Arial" w:eastAsia="Arial" w:hAnsi="Arial"/>
          <w:sz w:val="17"/>
          <w:szCs w:val="17"/>
          <w:color w:val="000000"/>
        </w:rPr>
        <w:t>will satisfy the provisions of Section 11(a) of the Act and Rule 158 of the Commission thereunder, which may be satisfied by timely filing reports with the Commission on its EDGAR system) covering a period of twelve months beginning after the effective date of the Registration Statement (as defined in Rule 158(c) of the Act) as soon as is reasonably practicable after the termination of such twelve-month period but not later than sixteen months after the effective date of the Registration Statement (as such date is defined in Rule 158(c) under the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right="20" w:firstLine="1296"/>
        <w:spacing w:after="0" w:line="308" w:lineRule="auto"/>
        <w:rPr>
          <w:sz w:val="20"/>
          <w:szCs w:val="20"/>
          <w:color w:val="auto"/>
        </w:rPr>
      </w:pPr>
      <w:r>
        <w:rPr>
          <w:rFonts w:ascii="Arial" w:cs="Arial" w:eastAsia="Arial" w:hAnsi="Arial"/>
          <w:sz w:val="17"/>
          <w:szCs w:val="17"/>
          <w:color w:val="010000"/>
        </w:rPr>
        <w:t>(i)</w:t>
      </w:r>
      <w:r>
        <w:rPr>
          <w:rFonts w:ascii="Arial" w:cs="Arial" w:eastAsia="Arial" w:hAnsi="Arial"/>
          <w:sz w:val="17"/>
          <w:szCs w:val="17"/>
          <w:color w:val="000000"/>
        </w:rPr>
        <w:t>            To apply the Net Proceeds from the sale of the Shares by the Company pursuant to this Agreement, any Terms Agreement and the</w:t>
      </w:r>
      <w:r>
        <w:rPr>
          <w:rFonts w:ascii="Arial" w:cs="Arial" w:eastAsia="Arial" w:hAnsi="Arial"/>
          <w:sz w:val="17"/>
          <w:szCs w:val="17"/>
          <w:color w:val="010000"/>
        </w:rPr>
        <w:t xml:space="preserve"> </w:t>
      </w:r>
      <w:r>
        <w:rPr>
          <w:rFonts w:ascii="Arial" w:cs="Arial" w:eastAsia="Arial" w:hAnsi="Arial"/>
          <w:sz w:val="17"/>
          <w:szCs w:val="17"/>
          <w:color w:val="000000"/>
        </w:rPr>
        <w:t>Ayar Investment (as defined below) in the manner set forth under the caption “Use of Proceeds” in the Prospectus Supplement.</w:t>
      </w:r>
    </w:p>
    <w:p>
      <w:pPr>
        <w:spacing w:after="0" w:line="14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(j)</w:t>
      </w:r>
      <w:r>
        <w:rPr>
          <w:rFonts w:ascii="Arial" w:cs="Arial" w:eastAsia="Arial" w:hAnsi="Arial"/>
          <w:sz w:val="16"/>
          <w:szCs w:val="16"/>
          <w:color w:val="000000"/>
        </w:rPr>
        <w:t>            At any time that the Company has instructed any Manager to sell Shares pursuant to Section 3 hereof but such instructions have not</w:t>
      </w:r>
      <w:r>
        <w:rPr>
          <w:rFonts w:ascii="Arial" w:cs="Arial" w:eastAsia="Arial" w:hAnsi="Arial"/>
          <w:sz w:val="16"/>
          <w:szCs w:val="16"/>
          <w:color w:val="010000"/>
        </w:rPr>
        <w:t xml:space="preserve"> </w:t>
      </w:r>
      <w:r>
        <w:rPr>
          <w:rFonts w:ascii="Arial" w:cs="Arial" w:eastAsia="Arial" w:hAnsi="Arial"/>
          <w:sz w:val="16"/>
          <w:szCs w:val="16"/>
          <w:color w:val="000000"/>
        </w:rPr>
        <w:t>been fulfilled, settled or cancelled, not to sell, offer to sell, contract or agree to sell, hypothecate, pledge, grant any option to sell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the Common Stock or permit the registration under the Act of any Common Stock, in each case without giving such Manager at least two business days’ prior written notice specifying the nature of the proposed sale and the date of such proposed sale. Notwithstanding the foregoing, the Company may, without notice to the Managers,</w:t>
      </w:r>
    </w:p>
    <w:p>
      <w:pPr>
        <w:spacing w:after="0" w:line="4" w:lineRule="exact"/>
        <w:rPr>
          <w:sz w:val="20"/>
          <w:szCs w:val="20"/>
          <w:color w:val="auto"/>
        </w:rPr>
      </w:pPr>
    </w:p>
    <w:p>
      <w:pPr>
        <w:jc w:val="both"/>
        <w:ind w:firstLine="8"/>
        <w:spacing w:after="0" w:line="268" w:lineRule="auto"/>
        <w:tabs>
          <w:tab w:leader="none" w:pos="2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register the offer and sale of the Shares through any Manager pursuant to this Agreement or any Terms Agreement; (ii) issue Common Stock and equity awards covering shares of Common Stock pursuant to employee benefit plans, qualified unit option plans or other employee compensation plans existing on the date hereof or disclosed in the Prospectus as of such date; (iii) issue Common Stock in connection with any acquisition; (iv) issue Common Stock to Ayar Third Investment Company (“Ayar”) pursuant to the terms of the Subscription Agreement between Ayar Third Investment Company and the Company dated November 8, 2022 (such transaction, the “Ayar Investment” and such agreement, the “Ayar Subscription Agreement”), and (v) take any action required under the Company’s Investor Rights Agreement. In the event that notice of a proposed sale is provided by the Company pursuant to this Section 4(j), the Managers may suspend activity under this program for such period of time as may be requested by the Company or as may be deemed appropriate by the Managers. The Company agrees that any offer to sell, any solicitation of an offer to buy, or any sale of Shares under this Agreement shall be effected by or through only one Manager or sales agent on any single given day, and the Company shall in no event request that more than one of the Managers or sales agent sell Shares on the same day.</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(k)</w:t>
      </w:r>
      <w:r>
        <w:rPr>
          <w:rFonts w:ascii="Arial" w:cs="Arial" w:eastAsia="Arial" w:hAnsi="Arial"/>
          <w:sz w:val="18"/>
          <w:szCs w:val="18"/>
          <w:color w:val="000000"/>
        </w:rPr>
        <w:t>            The Company Parties will not take, directly or indirectly, any action designed to cause or result in, or that has constituted or might</w:t>
      </w:r>
      <w:r>
        <w:rPr>
          <w:rFonts w:ascii="Arial" w:cs="Arial" w:eastAsia="Arial" w:hAnsi="Arial"/>
          <w:sz w:val="18"/>
          <w:szCs w:val="18"/>
          <w:color w:val="010000"/>
        </w:rPr>
        <w:t xml:space="preserve"> </w:t>
      </w:r>
      <w:r>
        <w:rPr>
          <w:rFonts w:ascii="Arial" w:cs="Arial" w:eastAsia="Arial" w:hAnsi="Arial"/>
          <w:sz w:val="18"/>
          <w:szCs w:val="18"/>
          <w:color w:val="000000"/>
        </w:rPr>
        <w:t>reasonably be expected to constitute under the Exchange Act or otherwise, the stabilization or manipulation of the price of any security of the Company to facilitate the sale or resale of the Shares.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(l)</w:t>
      </w:r>
      <w:r>
        <w:rPr>
          <w:rFonts w:ascii="Arial" w:cs="Arial" w:eastAsia="Arial" w:hAnsi="Arial"/>
          <w:sz w:val="18"/>
          <w:szCs w:val="18"/>
          <w:color w:val="000000"/>
        </w:rPr>
        <w:t>            To use its commercially reasonable efforts to cause the Common Stock to maintain its listing on the Nasdaq.</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(m)</w:t>
      </w:r>
      <w:r>
        <w:rPr>
          <w:rFonts w:ascii="Arial" w:cs="Arial" w:eastAsia="Arial" w:hAnsi="Arial"/>
          <w:sz w:val="18"/>
          <w:szCs w:val="18"/>
          <w:color w:val="000000"/>
        </w:rPr>
        <w:t>          To advise the Managers promptly after it shall have received notice or obtained knowledge of any information or fact that would</w:t>
      </w:r>
      <w:r>
        <w:rPr>
          <w:rFonts w:ascii="Arial" w:cs="Arial" w:eastAsia="Arial" w:hAnsi="Arial"/>
          <w:sz w:val="18"/>
          <w:szCs w:val="18"/>
          <w:color w:val="010000"/>
        </w:rPr>
        <w:t xml:space="preserve"> </w:t>
      </w:r>
      <w:r>
        <w:rPr>
          <w:rFonts w:ascii="Arial" w:cs="Arial" w:eastAsia="Arial" w:hAnsi="Arial"/>
          <w:sz w:val="18"/>
          <w:szCs w:val="18"/>
          <w:color w:val="000000"/>
        </w:rPr>
        <w:t>materially alter or affect any opinion, certificate, letter or other document provided to the Managers pursuant to Section 6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1296"/>
        <w:spacing w:after="0" w:line="284" w:lineRule="auto"/>
        <w:rPr>
          <w:sz w:val="20"/>
          <w:szCs w:val="20"/>
          <w:color w:val="auto"/>
        </w:rPr>
      </w:pPr>
      <w:r>
        <w:rPr>
          <w:rFonts w:ascii="Arial" w:cs="Arial" w:eastAsia="Arial" w:hAnsi="Arial"/>
          <w:sz w:val="16"/>
          <w:szCs w:val="16"/>
          <w:color w:val="010000"/>
        </w:rPr>
        <w:t>(n)</w:t>
      </w:r>
      <w:r>
        <w:rPr>
          <w:rFonts w:ascii="Arial" w:cs="Arial" w:eastAsia="Arial" w:hAnsi="Arial"/>
          <w:sz w:val="16"/>
          <w:szCs w:val="16"/>
          <w:color w:val="000000"/>
        </w:rPr>
        <w:t>            Upon commencement of the offering of the Shares under this Agreement (and upon recommencement of the offering of the Shares</w:t>
      </w:r>
      <w:r>
        <w:rPr>
          <w:rFonts w:ascii="Arial" w:cs="Arial" w:eastAsia="Arial" w:hAnsi="Arial"/>
          <w:sz w:val="16"/>
          <w:szCs w:val="16"/>
          <w:color w:val="010000"/>
        </w:rPr>
        <w:t xml:space="preserve"> </w:t>
      </w:r>
      <w:r>
        <w:rPr>
          <w:rFonts w:ascii="Arial" w:cs="Arial" w:eastAsia="Arial" w:hAnsi="Arial"/>
          <w:sz w:val="16"/>
          <w:szCs w:val="16"/>
          <w:color w:val="000000"/>
        </w:rPr>
        <w:t>under this Agreement following a Suspension Period) and promptly after each date that (i) the Registration Statement or the Prospectus shall be amended or supplemented (other than pursuant to subclause (ii) below and other than by a prospectus supplement filed pursuant to Rule 424(b) under the Act relating solely to the offering of securities, including shares of Common Stock, other than the Shares), or (ii) there is filed with the Commission any document incorporated by reference into the Prospectus (the date of commencement of the offering of the Shares under this Agreement and each date referred to in subclauses (i) and (ii) above, are each referred to as a “</w:t>
      </w:r>
      <w:r>
        <w:rPr>
          <w:rFonts w:ascii="Arial" w:cs="Arial" w:eastAsia="Arial" w:hAnsi="Arial"/>
          <w:sz w:val="16"/>
          <w:szCs w:val="16"/>
          <w:u w:val="single" w:color="auto"/>
          <w:color w:val="000000"/>
        </w:rPr>
        <w:t>Bring-Down Delivery Date</w:t>
      </w:r>
      <w:r>
        <w:rPr>
          <w:rFonts w:ascii="Arial" w:cs="Arial" w:eastAsia="Arial" w:hAnsi="Arial"/>
          <w:sz w:val="16"/>
          <w:szCs w:val="16"/>
          <w:color w:val="000000"/>
        </w:rPr>
        <w:t xml:space="preserve">”), to furnish or cause to be furnished to the Managers forthwith a certificate dated and delivered on the Bring-Down Delivery Date, in form satisfactory to the Managers to the effect that the statements contained in the certificate referred to in Section 6(f) of this Agreement which was last furnished to the Managers are true and correct as of such Bring-Down Delivery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6(f), modified as necessary to relate to the Registration Statement and the Prospectus as amended and supplemented to the time of delivery of such certificate; </w:t>
      </w:r>
      <w:r>
        <w:rPr>
          <w:rFonts w:ascii="Arial" w:cs="Arial" w:eastAsia="Arial" w:hAnsi="Arial"/>
          <w:sz w:val="16"/>
          <w:szCs w:val="16"/>
          <w:i w:val="1"/>
          <w:iCs w:val="1"/>
          <w:color w:val="000000"/>
        </w:rPr>
        <w:t xml:space="preserve">provided </w:t>
      </w:r>
      <w:r>
        <w:rPr>
          <w:rFonts w:ascii="Arial" w:cs="Arial" w:eastAsia="Arial" w:hAnsi="Arial"/>
          <w:sz w:val="16"/>
          <w:szCs w:val="16"/>
          <w:color w:val="000000"/>
        </w:rPr>
        <w:t>that the filing of a Current Report on Form 8-K will not constitute a Bring-Down Delivery Date under clause (ii) above unless either (A)(x) such</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Current Report on Form 8-K is filed at any time during which either a prospectus relating to the Shares is required to be delivered under the Act (whether physically, deemed to be delivered pursuant to Rule 153 or through compliance with Rule 172 or any similar rule) or such Current Report on Form 8-K is filed at any time from and including the date of a Terms Agreement through and including the relevant Settlement Date and (y) the Managers have reasonably requested that such date be deemed to be a Bring-Down Delivery Date based upon the event or events reported in such Current Report on Form 8-K or (B) such Current Report on Form 8-K contains capsule financial information, historical or pro forma financial statements, supporting schedules or other financial data, including any Current Report on Form 8-K or part thereof under Item 2.02 of Regulation S-K of the Commission that is considered “filed” under the Exchange Act;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further</w:t>
      </w:r>
      <w:r>
        <w:rPr>
          <w:rFonts w:ascii="Arial" w:cs="Arial" w:eastAsia="Arial" w:hAnsi="Arial"/>
          <w:sz w:val="16"/>
          <w:szCs w:val="16"/>
          <w:color w:val="000000"/>
        </w:rPr>
        <w:t xml:space="preserve">, that the obligation of the Company under this subsection (n) shall be deferred during any Suspension Period and shall recommence upon the termination of such Suspension Period; and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further,</w:t>
      </w:r>
      <w:r>
        <w:rPr>
          <w:rFonts w:ascii="Arial" w:cs="Arial" w:eastAsia="Arial" w:hAnsi="Arial"/>
          <w:sz w:val="16"/>
          <w:szCs w:val="16"/>
          <w:color w:val="000000"/>
        </w:rPr>
        <w:t xml:space="preserve"> that the obligation of the Company under this subsection (n) shall be deferred until such time as the Company executes and delivers a Terms Agreement or such time as an Authorized Representative instructs any Manager to make a sale of Shares under this Agreement.</w:t>
      </w:r>
    </w:p>
    <w:p>
      <w:pPr>
        <w:spacing w:after="0" w:line="39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(o)</w:t>
      </w:r>
      <w:r>
        <w:rPr>
          <w:rFonts w:ascii="Arial" w:cs="Arial" w:eastAsia="Arial" w:hAnsi="Arial"/>
          <w:sz w:val="17"/>
          <w:szCs w:val="17"/>
          <w:color w:val="000000"/>
        </w:rPr>
        <w:t>            To furnish or cause to be furnished forthwith to the Managers at or promptly after each Bring-Down Delivery Date (and upon</w:t>
      </w:r>
      <w:r>
        <w:rPr>
          <w:rFonts w:ascii="Arial" w:cs="Arial" w:eastAsia="Arial" w:hAnsi="Arial"/>
          <w:sz w:val="17"/>
          <w:szCs w:val="17"/>
          <w:color w:val="010000"/>
        </w:rPr>
        <w:t xml:space="preserve"> </w:t>
      </w:r>
      <w:r>
        <w:rPr>
          <w:rFonts w:ascii="Arial" w:cs="Arial" w:eastAsia="Arial" w:hAnsi="Arial"/>
          <w:sz w:val="17"/>
          <w:szCs w:val="17"/>
          <w:color w:val="000000"/>
        </w:rPr>
        <w:t>recommencement of the offering of the Shares under this Agreement following a Suspension Period), a written opinion and negative assurance letter of Davis Polk &amp; Wardwell LLP, counsel for the Company (together with any other counsel satisfactory to the Managers “</w:t>
      </w:r>
      <w:r>
        <w:rPr>
          <w:rFonts w:ascii="Arial" w:cs="Arial" w:eastAsia="Arial" w:hAnsi="Arial"/>
          <w:sz w:val="17"/>
          <w:szCs w:val="17"/>
          <w:u w:val="single" w:color="auto"/>
          <w:color w:val="000000"/>
        </w:rPr>
        <w:t>Company Counsel</w:t>
      </w:r>
      <w:r>
        <w:rPr>
          <w:rFonts w:ascii="Arial" w:cs="Arial" w:eastAsia="Arial" w:hAnsi="Arial"/>
          <w:sz w:val="17"/>
          <w:szCs w:val="17"/>
          <w:color w:val="000000"/>
        </w:rPr>
        <w:t xml:space="preserve">”), each dated and delivered as of such Bring-Down Delivery Date, in form and substance satisfactory to the Managers of the same tenor as the opinion and negative assurance letter referred to in Section 6(c) of this Agreement, but modified as necessary to relate to the Registration Statement and the Prospectus as amended and supplemented to the time of delivery of such opinion and negative assurance letter;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xml:space="preserve">, that in lieu of such opinions and negative assurance letters for subsequent Bring-Down Delivery Dates, Company Counsel may furnish the Managers with a letter to the effect that the Managers may rely on a prior opinion delivered under this Section 4(o) to the same extent as if it were dated the date of such letter (except that statements in such prior opinion shall be deemed to relate to the Registration Statement and the Prospectus as amended or supplemented at such Bring-Down Delivery Date);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further</w:t>
      </w:r>
      <w:r>
        <w:rPr>
          <w:rFonts w:ascii="Arial" w:cs="Arial" w:eastAsia="Arial" w:hAnsi="Arial"/>
          <w:sz w:val="17"/>
          <w:szCs w:val="17"/>
          <w:color w:val="000000"/>
        </w:rPr>
        <w:t xml:space="preserve">, that the obligation of the Company under this subsection (o) shall be deferred during any Suspension Period and shall recommence upon the termination of such Suspension Period; and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further</w:t>
      </w:r>
      <w:r>
        <w:rPr>
          <w:rFonts w:ascii="Arial" w:cs="Arial" w:eastAsia="Arial" w:hAnsi="Arial"/>
          <w:sz w:val="17"/>
          <w:szCs w:val="17"/>
          <w:color w:val="000000"/>
        </w:rPr>
        <w:t>, that the obligation of the Company under this subsection (o) shall be deferred until such time as the Company executes and delivers a Terms Agreement or such time as an Authorized Representative instructs any Manager to make a sale of Shares under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1296"/>
        <w:spacing w:after="0" w:line="293" w:lineRule="auto"/>
        <w:rPr>
          <w:sz w:val="20"/>
          <w:szCs w:val="20"/>
          <w:color w:val="auto"/>
        </w:rPr>
      </w:pPr>
      <w:r>
        <w:rPr>
          <w:rFonts w:ascii="Arial" w:cs="Arial" w:eastAsia="Arial" w:hAnsi="Arial"/>
          <w:sz w:val="16"/>
          <w:szCs w:val="16"/>
          <w:color w:val="010000"/>
        </w:rPr>
        <w:t>(p)</w:t>
      </w:r>
      <w:r>
        <w:rPr>
          <w:rFonts w:ascii="Arial" w:cs="Arial" w:eastAsia="Arial" w:hAnsi="Arial"/>
          <w:sz w:val="16"/>
          <w:szCs w:val="16"/>
          <w:color w:val="000000"/>
        </w:rPr>
        <w:t>            At or promptly after each Bring-Down Delivery Date (and upon recommencement of the offering of the Shares under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following a Suspension Period), Simpson Thacher &amp; Bartlett LLP, or other counsel for the Managers, shall deliver a written opinion and negative assurance letter, dated and delivered as of such Bring-Down Delivery Date, in form and substance satisfactory to the Managers;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obligation under this subsection (p) shall be deferred during any Suspension Period and shall recommence upon the termination of such Suspension Period; and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further,</w:t>
      </w:r>
      <w:r>
        <w:rPr>
          <w:rFonts w:ascii="Arial" w:cs="Arial" w:eastAsia="Arial" w:hAnsi="Arial"/>
          <w:sz w:val="16"/>
          <w:szCs w:val="16"/>
          <w:color w:val="000000"/>
        </w:rPr>
        <w:t xml:space="preserve"> that the obligation of the Company under this subsection (p) shall be deferred until such time as the Company executes and delivers a Terms Agreement or such time as an Authorized Representative instructs any Manager to make a sale of Shares under this Agreement.</w:t>
      </w:r>
    </w:p>
    <w:p>
      <w:pPr>
        <w:spacing w:after="0" w:line="16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(q)</w:t>
      </w:r>
      <w:r>
        <w:rPr>
          <w:rFonts w:ascii="Arial" w:cs="Arial" w:eastAsia="Arial" w:hAnsi="Arial"/>
          <w:sz w:val="16"/>
          <w:szCs w:val="16"/>
          <w:color w:val="000000"/>
        </w:rPr>
        <w:t>            Upon commencement of the offering of the Shares under this Agreement (and upon recommencement of the offering of the Shares</w:t>
      </w:r>
      <w:r>
        <w:rPr>
          <w:rFonts w:ascii="Arial" w:cs="Arial" w:eastAsia="Arial" w:hAnsi="Arial"/>
          <w:sz w:val="16"/>
          <w:szCs w:val="16"/>
          <w:color w:val="010000"/>
        </w:rPr>
        <w:t xml:space="preserve"> </w:t>
      </w:r>
      <w:r>
        <w:rPr>
          <w:rFonts w:ascii="Arial" w:cs="Arial" w:eastAsia="Arial" w:hAnsi="Arial"/>
          <w:sz w:val="16"/>
          <w:szCs w:val="16"/>
          <w:color w:val="000000"/>
        </w:rPr>
        <w:t>under this Agreement following a Suspension Period), and promptly after each date that (i) the Registration Statement or the Prospectus shall be amended or supplemented to include additional or amended financial information, (ii) the Company shall file an annual report on Form 10-K or a quarterly report on Form 10-Q, (iii) there is filed with the Commission any document (other than an annual report on Form 10-K or a quarterly report on Form 10-Q) incorporated by reference into the Prospectus which contains financial information, or (iv) the Managers shall otherwise reasonably request, to cause the Accountants (or other independent accountants of the Company satisfactory to the Managers) and any other applicable accounting firm reasonably requested by the Managers, forthwith to furnish to the Managers, a letter (“</w:t>
      </w:r>
      <w:r>
        <w:rPr>
          <w:rFonts w:ascii="Arial" w:cs="Arial" w:eastAsia="Arial" w:hAnsi="Arial"/>
          <w:sz w:val="16"/>
          <w:szCs w:val="16"/>
          <w:u w:val="single" w:color="auto"/>
          <w:color w:val="000000"/>
        </w:rPr>
        <w:t>Comfort Letter</w:t>
      </w:r>
      <w:r>
        <w:rPr>
          <w:rFonts w:ascii="Arial" w:cs="Arial" w:eastAsia="Arial" w:hAnsi="Arial"/>
          <w:sz w:val="16"/>
          <w:szCs w:val="16"/>
          <w:color w:val="000000"/>
        </w:rPr>
        <w:t xml:space="preserve">”), dated the date of the commencement of the offering, the date of effectiveness of such amendment or the date of filing of such supplement or other document with the Commission, as the case may be, in form and substance satisfactory to the Managers, of the same tenor as the letters referred to in Section 6(e) of this Agreement but modified to relate to the Registration Statement and the Prospectus, as amended and supplemented to the date of such letter;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obligation of the Company under this subsection (q) shall be deferred during any Suspension Period and shall recommence upon the termination of such Suspension Period; and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further</w:t>
      </w:r>
      <w:r>
        <w:rPr>
          <w:rFonts w:ascii="Arial" w:cs="Arial" w:eastAsia="Arial" w:hAnsi="Arial"/>
          <w:sz w:val="16"/>
          <w:szCs w:val="16"/>
          <w:color w:val="000000"/>
        </w:rPr>
        <w:t>, that the obligation of the Company under this subsection (q) shall be deferred until such time as the Company executes and delivers a Terms</w:t>
      </w:r>
      <w:r>
        <w:rPr>
          <w:rFonts w:ascii="Arial" w:cs="Arial" w:eastAsia="Arial" w:hAnsi="Arial"/>
          <w:sz w:val="16"/>
          <w:szCs w:val="16"/>
          <w:i w:val="1"/>
          <w:iCs w:val="1"/>
          <w:color w:val="000000"/>
        </w:rPr>
        <w:t xml:space="preserve"> </w:t>
      </w:r>
      <w:r>
        <w:rPr>
          <w:rFonts w:ascii="Arial" w:cs="Arial" w:eastAsia="Arial" w:hAnsi="Arial"/>
          <w:sz w:val="16"/>
          <w:szCs w:val="16"/>
          <w:color w:val="000000"/>
        </w:rPr>
        <w:t>Agreement or such time as an Authorized Representative instructs any Manager to make a sale of Shares under this Agreement.</w:t>
      </w:r>
    </w:p>
    <w:p>
      <w:pPr>
        <w:spacing w:after="0" w:line="17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(r)</w:t>
      </w:r>
      <w:r>
        <w:rPr>
          <w:rFonts w:ascii="Arial" w:cs="Arial" w:eastAsia="Arial" w:hAnsi="Arial"/>
          <w:sz w:val="18"/>
          <w:szCs w:val="18"/>
          <w:color w:val="000000"/>
        </w:rPr>
        <w:t>            That the Company acknowledges that each of the Managers may trade in Common Stock for such Manager’s own account and for</w:t>
      </w:r>
      <w:r>
        <w:rPr>
          <w:rFonts w:ascii="Arial" w:cs="Arial" w:eastAsia="Arial" w:hAnsi="Arial"/>
          <w:sz w:val="18"/>
          <w:szCs w:val="18"/>
          <w:color w:val="010000"/>
        </w:rPr>
        <w:t xml:space="preserve"> </w:t>
      </w:r>
      <w:r>
        <w:rPr>
          <w:rFonts w:ascii="Arial" w:cs="Arial" w:eastAsia="Arial" w:hAnsi="Arial"/>
          <w:sz w:val="18"/>
          <w:szCs w:val="18"/>
          <w:color w:val="000000"/>
        </w:rPr>
        <w:t xml:space="preserve">the account of its clients at the same time as sales of the Shares occur pursuant to this Agreement;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activity of the Managers is conducted in compliance with Regulation M under the Exchange Act.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w:t>
      </w:r>
      <w:r>
        <w:rPr>
          <w:rFonts w:ascii="Arial" w:cs="Arial" w:eastAsia="Arial" w:hAnsi="Arial"/>
          <w:sz w:val="18"/>
          <w:szCs w:val="18"/>
          <w:color w:val="000000"/>
        </w:rPr>
        <w:t>            If, to the knowledge of the Company, any condition set forth in Section 6(a) or 6(j) hereof shall not have been satisfied on the</w:t>
      </w:r>
      <w:r>
        <w:rPr>
          <w:rFonts w:ascii="Arial" w:cs="Arial" w:eastAsia="Arial" w:hAnsi="Arial"/>
          <w:sz w:val="18"/>
          <w:szCs w:val="18"/>
          <w:color w:val="010000"/>
        </w:rPr>
        <w:t xml:space="preserve"> </w:t>
      </w:r>
      <w:r>
        <w:rPr>
          <w:rFonts w:ascii="Arial" w:cs="Arial" w:eastAsia="Arial" w:hAnsi="Arial"/>
          <w:sz w:val="18"/>
          <w:szCs w:val="18"/>
          <w:color w:val="000000"/>
        </w:rPr>
        <w:t>applicable Settlement Date, to offer to any person who has agreed to purchase the Shares from the Company as the result of an offer to purchase solicited by any Manager the right to refuse to purchase and pay for such Shares.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(t)</w:t>
      </w:r>
      <w:r>
        <w:rPr>
          <w:rFonts w:ascii="Arial" w:cs="Arial" w:eastAsia="Arial" w:hAnsi="Arial"/>
          <w:sz w:val="18"/>
          <w:szCs w:val="18"/>
          <w:color w:val="000000"/>
        </w:rPr>
        <w:t>            To disclose in its quarterly reports on Form 10-Q and in its annual report on Form 10-K the number of the Shares sold through or to</w:t>
      </w:r>
      <w:r>
        <w:rPr>
          <w:rFonts w:ascii="Arial" w:cs="Arial" w:eastAsia="Arial" w:hAnsi="Arial"/>
          <w:sz w:val="18"/>
          <w:szCs w:val="18"/>
          <w:color w:val="010000"/>
        </w:rPr>
        <w:t xml:space="preserve"> </w:t>
      </w:r>
      <w:r>
        <w:rPr>
          <w:rFonts w:ascii="Arial" w:cs="Arial" w:eastAsia="Arial" w:hAnsi="Arial"/>
          <w:sz w:val="18"/>
          <w:szCs w:val="18"/>
          <w:color w:val="000000"/>
        </w:rPr>
        <w:t>the Managers under this Agreement, the Net Proceeds to the Company and the compensation paid to the Managers by the Company with respect to sales of the Shares pursuant to this Agreement during the period covered by the report.</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(u)</w:t>
      </w:r>
      <w:r>
        <w:rPr>
          <w:rFonts w:ascii="Arial" w:cs="Arial" w:eastAsia="Arial" w:hAnsi="Arial"/>
          <w:sz w:val="16"/>
          <w:szCs w:val="16"/>
          <w:color w:val="000000"/>
        </w:rPr>
        <w:t>            At each Bring-Down Delivery Date, to conduct a due diligence session, in form and substance satisfactory to the Managers, which</w:t>
      </w:r>
      <w:r>
        <w:rPr>
          <w:rFonts w:ascii="Arial" w:cs="Arial" w:eastAsia="Arial" w:hAnsi="Arial"/>
          <w:sz w:val="16"/>
          <w:szCs w:val="16"/>
          <w:color w:val="010000"/>
        </w:rPr>
        <w:t xml:space="preserve"> </w:t>
      </w:r>
      <w:r>
        <w:rPr>
          <w:rFonts w:ascii="Arial" w:cs="Arial" w:eastAsia="Arial" w:hAnsi="Arial"/>
          <w:sz w:val="16"/>
          <w:szCs w:val="16"/>
          <w:color w:val="000000"/>
        </w:rPr>
        <w:t xml:space="preserve">shall include representatives of the management and the accountants of the Company;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obligation of the Company under this subsection</w:t>
      </w:r>
    </w:p>
    <w:p>
      <w:pPr>
        <w:jc w:val="both"/>
        <w:ind w:firstLine="8"/>
        <w:spacing w:after="0" w:line="255"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shall be deferred during any Suspension Period and shall recommence upon the termination of such Suspension Period;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obligation of the Company under this subsection (u) shall be deferred until such time as the Company executes and delivers a Terms Agreement or such time as an Authorized Representative instructs any Manager to make a sale of Shares under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1296"/>
        <w:spacing w:after="0" w:line="277" w:lineRule="auto"/>
        <w:rPr>
          <w:sz w:val="20"/>
          <w:szCs w:val="20"/>
          <w:color w:val="auto"/>
        </w:rPr>
      </w:pPr>
      <w:r>
        <w:rPr>
          <w:rFonts w:ascii="Arial" w:cs="Arial" w:eastAsia="Arial" w:hAnsi="Arial"/>
          <w:sz w:val="18"/>
          <w:szCs w:val="18"/>
          <w:color w:val="010000"/>
        </w:rPr>
        <w:t>(v)</w:t>
      </w:r>
      <w:r>
        <w:rPr>
          <w:rFonts w:ascii="Arial" w:cs="Arial" w:eastAsia="Arial" w:hAnsi="Arial"/>
          <w:sz w:val="18"/>
          <w:szCs w:val="18"/>
          <w:color w:val="000000"/>
        </w:rPr>
        <w:t>            To ensure that prior to instructing any Manager to sell Shares, the Company shall have obtained all necessary corporate</w:t>
      </w:r>
      <w:r>
        <w:rPr>
          <w:rFonts w:ascii="Arial" w:cs="Arial" w:eastAsia="Arial" w:hAnsi="Arial"/>
          <w:sz w:val="18"/>
          <w:szCs w:val="18"/>
          <w:color w:val="010000"/>
        </w:rPr>
        <w:t xml:space="preserve"> </w:t>
      </w:r>
      <w:r>
        <w:rPr>
          <w:rFonts w:ascii="Arial" w:cs="Arial" w:eastAsia="Arial" w:hAnsi="Arial"/>
          <w:sz w:val="18"/>
          <w:szCs w:val="18"/>
          <w:color w:val="000000"/>
        </w:rPr>
        <w:t>authorizations for the offer and sale of such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Payment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Except as otherwise agreed in writing among the Company and the Managers, the Company agrees with the Managers, whether or not the transactions contemplated hereunder are consummated or this Agreement is terminated, to pay all of the Company’s expenses incident to the performance of its obligations hereunder, including, but not limited to, such costs, expenses, fees and taxes in connection with (i) the preparation and filing of the Registration Statement, the Base Prospectus, the Prospectus Supplement, the Prospectus and any amendments or supplements thereto, and the printing and furnishing of copies of each such document to the Managers (including costs of mailing and shipment), (ii) the registration, issue, sale and delivery of the Shares (including any stock or transfer taxes and stamp or similar duties payable upon the sale, issuance or delivery of any Shares), (iii) the listing of the Shares on the Nasdaq, (iv) the reasonable fees and disbursements of the Company’s counsel and of the Company’s accountants, (v) the filing fees incident to, and the reasonable and documented fees and disbursements of counsel for the Managers in connection with the review by FINRA of the terms of the sale of the Shares, (vi) the qualification of the Shares under securities laws of states and jurisdictions (domestic and foreign) as the Managers may designate to maintain such qualifications in effect so long as required to complete the distribution of the Shares, including filing fees and the reasonable and documented fees and disbursements of counsel for the Managers in connection therewith and in connection with the preparation of the Blue Sky Survey and any supplement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fees and disbursements of counsel for the Managers incurred in connection with clauses (v) and (vi) shall not exceed $15,000, and (vii) the reasonable and documented fees and disbursements of counsel for the Managers in connection with this Agreement and any transactions contemplated hereunder (in addition to clauses (v) and (vi)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fees and disbursements of counsel for the Managers incurred in connection with, and reimbursable by the Company pursuant to, this clause (vii) shall not exceed $250,000. Except as otherwise provided in Section 7 hereof, each Manager will otherwise pay all of its out-of-pocket costs and expenses incurred in connection with entering into this Agreement and the transactions contemplated by this Agreement, including, without limitation, travel, reproduction, printing and similar expenses, and expenses of external counsel for the Managers that are not covered by clauses (v), (vi) or (vii) above.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Conditions of the Managers’ Obligations</w:t>
      </w:r>
      <w:r>
        <w:rPr>
          <w:rFonts w:ascii="Arial" w:cs="Arial" w:eastAsia="Arial" w:hAnsi="Arial"/>
          <w:sz w:val="18"/>
          <w:szCs w:val="18"/>
          <w:color w:val="auto"/>
        </w:rPr>
        <w:t>. The obligations of each Manager are subject to (i) the accuracy of the representations and warranties of the Company as of the Execution Time and each Representation Date, (ii) the performance by the Company of its obligations hereunder and (iii) to the following additional conditions precedent.</w:t>
      </w:r>
    </w:p>
    <w:p>
      <w:pPr>
        <w:spacing w:after="0" w:line="18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(a)</w:t>
      </w:r>
      <w:r>
        <w:rPr>
          <w:rFonts w:ascii="Arial" w:cs="Arial" w:eastAsia="Arial" w:hAnsi="Arial"/>
          <w:sz w:val="16"/>
          <w:szCs w:val="16"/>
          <w:color w:val="000000"/>
        </w:rPr>
        <w:t>            (i) No stop order with respect to the effectiveness of the Registration Statement shall have been issued under the Act or</w:t>
      </w:r>
      <w:r>
        <w:rPr>
          <w:rFonts w:ascii="Arial" w:cs="Arial" w:eastAsia="Arial" w:hAnsi="Arial"/>
          <w:sz w:val="16"/>
          <w:szCs w:val="16"/>
          <w:color w:val="010000"/>
        </w:rPr>
        <w:t xml:space="preserve"> </w:t>
      </w:r>
      <w:r>
        <w:rPr>
          <w:rFonts w:ascii="Arial" w:cs="Arial" w:eastAsia="Arial" w:hAnsi="Arial"/>
          <w:sz w:val="16"/>
          <w:szCs w:val="16"/>
          <w:color w:val="000000"/>
        </w:rPr>
        <w:t>proceedings initiated under Section 8(d) or 8(e) of the Act, and no order directed at or in relation to any document incorporated by reference therein and no order preventing or suspending the use of the Prospectus shall have been issued by the Commission, and no suspension of the qualification of the Shares for offer or sale in any jurisdiction, or to the knowledge of the Company or any Manager, no initiation or threatening in writing of any proceedings for any of such purposes or pursuant to Section 8A of the Act, shall have occurred; (ii) the Registration Statement and all amendments thereto shall not contain an untrue statement of a material fact or omit to state a material fact required to be stated therein or necessary to make the statements therein not misleading;</w:t>
      </w:r>
    </w:p>
    <w:p>
      <w:pPr>
        <w:spacing w:after="0" w:line="4" w:lineRule="exact"/>
        <w:rPr>
          <w:sz w:val="20"/>
          <w:szCs w:val="20"/>
          <w:color w:val="auto"/>
        </w:rPr>
      </w:pPr>
    </w:p>
    <w:p>
      <w:pPr>
        <w:jc w:val="both"/>
        <w:ind w:firstLine="8"/>
        <w:spacing w:after="0" w:line="281" w:lineRule="auto"/>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Base Prospectus or the Prospectus, and no amendment or supplement thereto, shall include an untrue statement of a material fact or omit to state a material fact necessary in order to make the statements therein, in the light of the circumstances under which they are made, not misleading; and</w:t>
      </w:r>
    </w:p>
    <w:p>
      <w:pPr>
        <w:spacing w:after="0" w:line="1" w:lineRule="exact"/>
        <w:rPr>
          <w:rFonts w:ascii="Arial" w:cs="Arial" w:eastAsia="Arial" w:hAnsi="Arial"/>
          <w:sz w:val="16"/>
          <w:szCs w:val="16"/>
          <w:color w:val="auto"/>
        </w:rPr>
      </w:pPr>
    </w:p>
    <w:p>
      <w:pPr>
        <w:ind w:firstLine="8"/>
        <w:spacing w:after="0" w:line="260" w:lineRule="auto"/>
        <w:tabs>
          <w:tab w:leader="none" w:pos="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Prospectus and no amendment or supplement thereto, shall include an untrue statement of a material fact or omit to state a material fact necessary in order to make the statements therein, in the light of the circumstances under which they are made, not misleading.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1296"/>
        <w:spacing w:after="0" w:line="277" w:lineRule="auto"/>
        <w:rPr>
          <w:sz w:val="20"/>
          <w:szCs w:val="20"/>
          <w:color w:val="auto"/>
        </w:rPr>
      </w:pPr>
      <w:r>
        <w:rPr>
          <w:rFonts w:ascii="Arial" w:cs="Arial" w:eastAsia="Arial" w:hAnsi="Arial"/>
          <w:sz w:val="18"/>
          <w:szCs w:val="18"/>
          <w:color w:val="010000"/>
        </w:rPr>
        <w:t>(b)</w:t>
      </w:r>
      <w:r>
        <w:rPr>
          <w:rFonts w:ascii="Arial" w:cs="Arial" w:eastAsia="Arial" w:hAnsi="Arial"/>
          <w:sz w:val="18"/>
          <w:szCs w:val="18"/>
          <w:color w:val="000000"/>
        </w:rPr>
        <w:t>            Subsequent to the respective dates as of which information is given in the Registration Statement, the Base Prospectus and the</w:t>
      </w:r>
      <w:r>
        <w:rPr>
          <w:rFonts w:ascii="Arial" w:cs="Arial" w:eastAsia="Arial" w:hAnsi="Arial"/>
          <w:sz w:val="18"/>
          <w:szCs w:val="18"/>
          <w:color w:val="010000"/>
        </w:rPr>
        <w:t xml:space="preserve"> </w:t>
      </w:r>
      <w:r>
        <w:rPr>
          <w:rFonts w:ascii="Arial" w:cs="Arial" w:eastAsia="Arial" w:hAnsi="Arial"/>
          <w:sz w:val="18"/>
          <w:szCs w:val="18"/>
          <w:color w:val="000000"/>
        </w:rPr>
        <w:t>Prospectus, there shall not have been any Material Adverse Effect.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(c)</w:t>
      </w:r>
      <w:r>
        <w:rPr>
          <w:rFonts w:ascii="Arial" w:cs="Arial" w:eastAsia="Arial" w:hAnsi="Arial"/>
          <w:sz w:val="18"/>
          <w:szCs w:val="18"/>
          <w:color w:val="000000"/>
        </w:rPr>
        <w:t>            On every date specified in Section 4(o) hereof, the Managers, shall have received an opinion and negative assurance letter of</w:t>
      </w:r>
      <w:r>
        <w:rPr>
          <w:rFonts w:ascii="Arial" w:cs="Arial" w:eastAsia="Arial" w:hAnsi="Arial"/>
          <w:sz w:val="18"/>
          <w:szCs w:val="18"/>
          <w:color w:val="010000"/>
        </w:rPr>
        <w:t xml:space="preserve"> </w:t>
      </w:r>
      <w:r>
        <w:rPr>
          <w:rFonts w:ascii="Arial" w:cs="Arial" w:eastAsia="Arial" w:hAnsi="Arial"/>
          <w:sz w:val="18"/>
          <w:szCs w:val="18"/>
          <w:color w:val="000000"/>
        </w:rPr>
        <w:t>Company Counsel, in form and substance satisfactory to the Managers, dated as of such date.</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010000"/>
        </w:rPr>
        <w:t>(d)</w:t>
      </w:r>
      <w:r>
        <w:rPr>
          <w:rFonts w:ascii="Arial" w:cs="Arial" w:eastAsia="Arial" w:hAnsi="Arial"/>
          <w:sz w:val="16"/>
          <w:szCs w:val="16"/>
          <w:color w:val="000000"/>
        </w:rPr>
        <w:t>            On every date specified in Section 4(q) hereof, the Managers shall have received from the Accountants and each other accounting</w:t>
      </w:r>
      <w:r>
        <w:rPr>
          <w:rFonts w:ascii="Arial" w:cs="Arial" w:eastAsia="Arial" w:hAnsi="Arial"/>
          <w:sz w:val="16"/>
          <w:szCs w:val="16"/>
          <w:color w:val="010000"/>
        </w:rPr>
        <w:t xml:space="preserve"> </w:t>
      </w:r>
      <w:r>
        <w:rPr>
          <w:rFonts w:ascii="Arial" w:cs="Arial" w:eastAsia="Arial" w:hAnsi="Arial"/>
          <w:sz w:val="16"/>
          <w:szCs w:val="16"/>
          <w:color w:val="000000"/>
        </w:rPr>
        <w:t>firm reasonably requested by the Managers, in each case in form and substance satisfactory to the Managers, a Comfort Letter, dated as of such date.</w:t>
      </w:r>
    </w:p>
    <w:p>
      <w:pPr>
        <w:spacing w:after="0" w:line="12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010000"/>
        </w:rPr>
        <w:t>(e)</w:t>
      </w:r>
      <w:r>
        <w:rPr>
          <w:rFonts w:ascii="Arial" w:cs="Arial" w:eastAsia="Arial" w:hAnsi="Arial"/>
          <w:sz w:val="16"/>
          <w:szCs w:val="16"/>
          <w:color w:val="000000"/>
        </w:rPr>
        <w:t>            On every date specified in Section 4(n) hereof, the Managers shall have received a certificate to the effect that (i) the</w:t>
      </w:r>
      <w:r>
        <w:rPr>
          <w:rFonts w:ascii="Arial" w:cs="Arial" w:eastAsia="Arial" w:hAnsi="Arial"/>
          <w:sz w:val="16"/>
          <w:szCs w:val="16"/>
          <w:color w:val="010000"/>
        </w:rPr>
        <w:t xml:space="preserve"> </w:t>
      </w:r>
      <w:r>
        <w:rPr>
          <w:rFonts w:ascii="Arial" w:cs="Arial" w:eastAsia="Arial" w:hAnsi="Arial"/>
          <w:sz w:val="16"/>
          <w:szCs w:val="16"/>
          <w:color w:val="000000"/>
        </w:rPr>
        <w:t>representations and warranties of the Company as set forth in this Agreement are true and correct as of the Bring-Down Delivery Date, (ii) the Company has performed its obligations under this Agreement that it is required to perform on or prior to such Bring-Down Delivery Date, and (iii) the conditions set forth in paragraphs (a) and (b) of Section 6 hereof have been met. The certificate shall also state that the Shares have been duly and validly authorized by the Company, that all corporate action required to be taken for the issuance and sale of the Shares has been validly and sufficiently taken, and that the Company’s Board of Directors or any other body with authority has not revoked, rescinded or otherwise modified or withdrawn such authorization.</w:t>
      </w:r>
    </w:p>
    <w:p>
      <w:pPr>
        <w:spacing w:after="0" w:line="16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(f)</w:t>
      </w:r>
      <w:r>
        <w:rPr>
          <w:rFonts w:ascii="Arial" w:cs="Arial" w:eastAsia="Arial" w:hAnsi="Arial"/>
          <w:sz w:val="17"/>
          <w:szCs w:val="17"/>
          <w:color w:val="000000"/>
        </w:rPr>
        <w:t>            On every date specified in Section 4(p) hereof, the Managers shall have received an opinion and negative assurance letter of</w:t>
      </w:r>
      <w:r>
        <w:rPr>
          <w:rFonts w:ascii="Arial" w:cs="Arial" w:eastAsia="Arial" w:hAnsi="Arial"/>
          <w:sz w:val="17"/>
          <w:szCs w:val="17"/>
          <w:color w:val="010000"/>
        </w:rPr>
        <w:t xml:space="preserve"> </w:t>
      </w:r>
      <w:r>
        <w:rPr>
          <w:rFonts w:ascii="Arial" w:cs="Arial" w:eastAsia="Arial" w:hAnsi="Arial"/>
          <w:sz w:val="17"/>
          <w:szCs w:val="17"/>
          <w:color w:val="000000"/>
        </w:rPr>
        <w:t>Simpson Thacher &amp; Bartlett LLP, or other counsel for the Managers, in form and substance satisfactory to the Managers, dated as of such date.</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(g)</w:t>
      </w:r>
      <w:r>
        <w:rPr>
          <w:rFonts w:ascii="Arial" w:cs="Arial" w:eastAsia="Arial" w:hAnsi="Arial"/>
          <w:sz w:val="18"/>
          <w:szCs w:val="18"/>
          <w:color w:val="000000"/>
        </w:rPr>
        <w:t>            All filings with the Commission required by Rule 424 under the Act to have been filed by any Settlement Date shall have been</w:t>
      </w:r>
      <w:r>
        <w:rPr>
          <w:rFonts w:ascii="Arial" w:cs="Arial" w:eastAsia="Arial" w:hAnsi="Arial"/>
          <w:sz w:val="18"/>
          <w:szCs w:val="18"/>
          <w:color w:val="010000"/>
        </w:rPr>
        <w:t xml:space="preserve"> </w:t>
      </w:r>
      <w:r>
        <w:rPr>
          <w:rFonts w:ascii="Arial" w:cs="Arial" w:eastAsia="Arial" w:hAnsi="Arial"/>
          <w:sz w:val="18"/>
          <w:szCs w:val="18"/>
          <w:color w:val="000000"/>
        </w:rPr>
        <w:t>made within the applicable time period prescribed for such filing by Rule 424.</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(h)</w:t>
      </w:r>
      <w:r>
        <w:rPr>
          <w:rFonts w:ascii="Arial" w:cs="Arial" w:eastAsia="Arial" w:hAnsi="Arial"/>
          <w:sz w:val="16"/>
          <w:szCs w:val="16"/>
          <w:color w:val="000000"/>
        </w:rPr>
        <w:t>            The Shares shall have been approved for listing on the Nasdaq, subject only to notice of issuance at or prior to the Settlement Date.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(i)</w:t>
      </w:r>
      <w:r>
        <w:rPr>
          <w:rFonts w:ascii="Arial" w:cs="Arial" w:eastAsia="Arial" w:hAnsi="Arial"/>
          <w:sz w:val="18"/>
          <w:szCs w:val="18"/>
          <w:color w:val="000000"/>
        </w:rPr>
        <w:t>            At or before the Settlement Date, the Company and Ayar shall have executed the Ayar Subscription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SECTION 7:         </w:t>
      </w:r>
      <w:r>
        <w:rPr>
          <w:rFonts w:ascii="Arial" w:cs="Arial" w:eastAsia="Arial" w:hAnsi="Arial"/>
          <w:sz w:val="18"/>
          <w:szCs w:val="18"/>
          <w:u w:val="single" w:color="auto"/>
          <w:color w:val="auto"/>
        </w:rPr>
        <w:t>  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(a)</w:t>
      </w:r>
      <w:r>
        <w:rPr>
          <w:rFonts w:ascii="Arial" w:cs="Arial" w:eastAsia="Arial" w:hAnsi="Arial"/>
          <w:sz w:val="16"/>
          <w:szCs w:val="16"/>
          <w:color w:val="000000"/>
        </w:rPr>
        <w:t>            The Company agrees to indemnify, defend and hold harmless each Manager, its employees, agents, directors and officers, any</w:t>
      </w:r>
      <w:r>
        <w:rPr>
          <w:rFonts w:ascii="Arial" w:cs="Arial" w:eastAsia="Arial" w:hAnsi="Arial"/>
          <w:sz w:val="16"/>
          <w:szCs w:val="16"/>
          <w:color w:val="010000"/>
        </w:rPr>
        <w:t xml:space="preserve"> </w:t>
      </w:r>
      <w:r>
        <w:rPr>
          <w:rFonts w:ascii="Arial" w:cs="Arial" w:eastAsia="Arial" w:hAnsi="Arial"/>
          <w:sz w:val="16"/>
          <w:szCs w:val="16"/>
          <w:color w:val="000000"/>
        </w:rPr>
        <w:t>person who controls such Manager within the meaning of Section 15 of the Act or Section 20 of the Exchange Act and any “affiliate” (within the meaning of Rule 405 under the Act) of such Manager that has, or is alleged to have, participated in the distribution of Shares, and the successors and assigns of all the foregoing persons, from and against any loss, damage, expense, liability or claim (including, without limitation, the reasonable cost of investigation and any legal fees and other expenses reasonably incurred in connection with any suit, action, investigation or proceeding or any claim asserted), joint or several, which such Manager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that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and in conformity with information furnished in writing by or on behalf of such Manager to the Company expressly for use in, the Registration Statement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7 being deemed to include the Base Prospectus, the Prospectus Supplement, the Prospectus and any amendments or supplements to the foregoing) or in any “issuer information” (as defined in Rule 433 under the Act) of the Company in any road show as defined under Rule 433(h) under the Act (a “</w:t>
      </w:r>
      <w:r>
        <w:rPr>
          <w:rFonts w:ascii="Arial" w:cs="Arial" w:eastAsia="Arial" w:hAnsi="Arial"/>
          <w:sz w:val="16"/>
          <w:szCs w:val="16"/>
          <w:u w:val="single" w:color="auto"/>
          <w:color w:val="000000"/>
        </w:rPr>
        <w:t>road show</w:t>
      </w:r>
      <w:r>
        <w:rPr>
          <w:rFonts w:ascii="Arial" w:cs="Arial" w:eastAsia="Arial" w:hAnsi="Arial"/>
          <w:sz w:val="16"/>
          <w:szCs w:val="16"/>
          <w:color w:val="000000"/>
        </w:rPr>
        <w:t>”), or arises out of or is based upon any omission or alleged omission to state a material fact necessary in order to make the statements therein, in the light of the circumstances under which they were made, not misleading, except, with respect to such Prospectus, insofar as any such loss, damage, expense, liability or claim arises out of or is based upon any untrue statement or alleged untrue statement of a material fact contained in, and in conformity with information furnished in writing by or on behalf of such Manager to the Company expressly for use in, such Prospectus or arises out of or is based upon any omission or alleged omission to state a material fact in such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any action, suit or proceeding (together, a “</w:t>
      </w:r>
      <w:r>
        <w:rPr>
          <w:rFonts w:ascii="Arial" w:cs="Arial" w:eastAsia="Arial" w:hAnsi="Arial"/>
          <w:sz w:val="16"/>
          <w:szCs w:val="16"/>
          <w:u w:val="single" w:color="auto"/>
          <w:color w:val="auto"/>
        </w:rPr>
        <w:t>Proceeding</w:t>
      </w:r>
      <w:r>
        <w:rPr>
          <w:rFonts w:ascii="Arial" w:cs="Arial" w:eastAsia="Arial" w:hAnsi="Arial"/>
          <w:sz w:val="16"/>
          <w:szCs w:val="16"/>
          <w:color w:val="auto"/>
        </w:rPr>
        <w:t>”) is brought against any Manager or any such person in respect of which indemnity may be sought against the Company pursuant to the foregoing paragraph, such Manager or such person shall promptly notify the Company in writing of the institution of such Proceeding and the Company shall assume the defense of such Proceeding, including the employment of counsel reasonably satisfactory to such indemnified party and payment of all fees and expenses; provided, however, that the failure to so notify the Company shall not relieve the Company from any liability which the Company may have to such Manager or any such person or otherwise except to the extent the Company is materially prejudiced as a result thereof. The Manager or such person shall have the right to employ its or their own counsel in any such case, but the fees and expenses of such counsel shall be at the expense of such Manager or of such person unless the employment of such counsel shall have been authorized in writing by the Company in connection with the defense of such Proceeding or the Company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(in which case the Company shall not have the right to direct the defense of such Proceeding on behalf of the indemnified party or parties), in any of which events such fees and expenses shall be borne by the Company, and paid as incurred (it being understood, however, that the Company shall not be liable for the expenses of more than one separate counsel (in addition to any local counsel) in any one Proceeding or series of related Proceedings in the same jurisdiction representing the indemnified parties who are parties to such Proceeding, except in the case of a conflict of interest among indemnified parties). The Company shall not be liable for any settlement of any Proceeding effected without its written consent but, if settled with the written consent of the Company, the Company agrees to indemnify and hold harmless the relevant Manager and any such person from and against any loss or liability by reason of such settlement. Notwithstanding the foregoing sentence, if at any time an indemnified party shall have requested the Company to reimburse the indemnified party for fees and expenses of counsel as contemplated by the second sentence of this paragraph, then the Company agrees that it shall be liable for any settlement of any Proceeding effected without its written consent if (i) such settlement is entered into more than 60 business days after receipt by the Company of the aforesaid request, (ii) the Company shall not have reimbursed the indemnified party in accordance with such request prior to the date of such settlement and (iii) such indemnified party shall have given the Company at least 30 days’ prior notice of its intention to settle. The Company shall not, without the prior written consent of the indemnified party, effect any settlement of any pending or threatened Proceeding in respect of which any indemnified party is or may be a party and indemnity could have been sought hereunder by such indemnified party, unless such settlement includes an unconditional release of such indemnified party from all liability on claims that are the subject matter of such Proceeding and does not include any statement as to or an admission of fault, culpability or a failure to act, by or on behalf of such indemnified party.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83" w:lineRule="auto"/>
        <w:rPr>
          <w:sz w:val="20"/>
          <w:szCs w:val="20"/>
          <w:color w:val="auto"/>
        </w:rPr>
      </w:pPr>
      <w:r>
        <w:rPr>
          <w:rFonts w:ascii="Arial" w:cs="Arial" w:eastAsia="Arial" w:hAnsi="Arial"/>
          <w:sz w:val="16"/>
          <w:szCs w:val="16"/>
          <w:color w:val="010000"/>
        </w:rPr>
        <w:t>(b)</w:t>
      </w:r>
      <w:r>
        <w:rPr>
          <w:rFonts w:ascii="Arial" w:cs="Arial" w:eastAsia="Arial" w:hAnsi="Arial"/>
          <w:sz w:val="16"/>
          <w:szCs w:val="16"/>
          <w:color w:val="000000"/>
        </w:rPr>
        <w:t>            Each Manager, severally and not jointly, agrees to indemnify and hold harmless the Company and its employees, agents, directors</w:t>
      </w:r>
      <w:r>
        <w:rPr>
          <w:rFonts w:ascii="Arial" w:cs="Arial" w:eastAsia="Arial" w:hAnsi="Arial"/>
          <w:sz w:val="16"/>
          <w:szCs w:val="16"/>
          <w:color w:val="010000"/>
        </w:rPr>
        <w:t xml:space="preserve"> </w:t>
      </w:r>
      <w:r>
        <w:rPr>
          <w:rFonts w:ascii="Arial" w:cs="Arial" w:eastAsia="Arial" w:hAnsi="Arial"/>
          <w:sz w:val="16"/>
          <w:szCs w:val="16"/>
          <w:color w:val="000000"/>
        </w:rPr>
        <w:t>and each officer that signed the Registration Statement, each person, if any, who controls the Company within the meaning of Section 15 of the Act or Section 20 of the Exchange Act, and the successors and assigns of all of the foregoing persons from and against any loss, damage, expense, liability or claim (including, without limitation, the reasonable cost of investigation and any legal fees and other expenses reasonably incurred in connection with any suit, action, investigation or proceeding or any claim asserted), joint or several, which the Company or any such person may incur under the Act, the Exchange Act, the common law or otherwise, insofar as such loss, damage, expense, liability or claim arises out of or is based upon (i) any untrue statement or alleged untrue statement of a material fact made in reliance upon and in conformity with any information relating to such Manager furnished in writing by or on behalf of such Manager to the Company expressly for use with reference to such Manager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w:t>
      </w:r>
    </w:p>
    <w:p>
      <w:pPr>
        <w:spacing w:after="0" w:line="4" w:lineRule="exact"/>
        <w:rPr>
          <w:sz w:val="20"/>
          <w:szCs w:val="20"/>
          <w:color w:val="auto"/>
        </w:rPr>
      </w:pPr>
    </w:p>
    <w:p>
      <w:pPr>
        <w:jc w:val="both"/>
        <w:ind w:firstLine="8"/>
        <w:spacing w:after="0" w:line="269" w:lineRule="auto"/>
        <w:tabs>
          <w:tab w:leader="none" w:pos="2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made in reliance upon and in conformity with any information relating to such Manager furnished in writing by or on behalf of such Manager to the Company expressly for use with reference to such Manager in the Prospectus or in any road show or arises out of or is based upon any omission or alleged omission to state a material fact therein in connection with such information, which material fact was not contained in such information and which material fact was necessary in order to make the statements in such information, in the light of the circumstances under which they were made, not misleading. The Company acknowledges that the information contained under the heading “Plan of Distribution” in the Prospectus Supplement in the paragraph related to stabilizing transactions constitutes the only information furnished in writing by or on behalf of any Manager in any of the Registration Statement, the Prospectus or a road show.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284" w:lineRule="auto"/>
        <w:rPr>
          <w:sz w:val="20"/>
          <w:szCs w:val="20"/>
          <w:color w:val="auto"/>
        </w:rPr>
      </w:pPr>
      <w:r>
        <w:rPr>
          <w:rFonts w:ascii="Arial" w:cs="Arial" w:eastAsia="Arial" w:hAnsi="Arial"/>
          <w:sz w:val="16"/>
          <w:szCs w:val="16"/>
          <w:color w:val="auto"/>
        </w:rPr>
        <w:t>If any Proceeding is brought against the Company or any such person in respect of which indemnity may be sought against any Manager pursuant to the foregoing paragraph, the Company or such person shall promptly notify such Manager in writing of the institution of such Proceeding and such Manager shall assume the defense of such Proceeding, including the employment of counsel reasonably satisfactory to such indemnified party and payment of all fees and expenses; provided, however, that the failure to so notify such Manager, as applicable, shall not relieve such Manager from any liability which such Manager may have to the Company or any such person or otherwise except to the extent such Manager did not otherwise learn of such Proceeding and such failure results in the forfeiture by such Manager of substantial rights and defenses. The Company or such person shall have the right to employ its own counsel in any such case, but the fees and expenses of such counsel shall be at the expense of the Company or such person unless the employment of such counsel shall have been authorized in writing by the relevant Manager in connection with the defense of such Proceeding or such Manager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or additional to or in conflict with those available to such Manager (in which case such Manager shall not have the right to direct the defense of such Proceeding on behalf of the indemnified party or parties, but such Manager may employ counsel and participate in the defense thereof but the fees and expenses of such counsel shall be at the expense of such Manager), in any of which events such fees and expenses shall be borne by such Manager and paid as incurred (it being understood, however, that such Manager shall not be liable for the expenses of more than one separate counsel (in addition to any local counsel) in any one Proceeding or series of related Proceedings in the same jurisdiction representing the indemnified parties who are parties to such Proceeding). The relevant Manager shall not be liable for any settlement of any such Proceeding effected without the written consent of such Manager but, if settled with the written consent of such Manager, such Manager agrees to indemnify and hold harmless the Company and any such person from and against any loss or liability by reason of such settlement. Notwithstanding the foregoing sentence, if at any time an indemnified party shall have requested the relevant Manager to reimburse the indemnified party for fees and expenses of counsel as contemplated by the second sentence of this paragraph, then such Manager agrees that it shall be liable for any settlement of any Proceeding effected without its written consent if (i) such settlement is entered into more than 60 business days after receipt by such Manager of the aforesaid request, (ii) such Manager shall not have reimbursed the indemnified party in accordance with such request prior to the date of such settlement and (iii) such indemnified party shall have given such Manager at least 30 days’ prior notice of its intention to settle. The relevant Manager shall not, without the prior written consent of the indemnified party, effect any settlement of any pending or threatened Proceeding in respect of which any indemnified party is a party and indemnity could have been sought hereunder by such indemnified party, unless such settlement includes an unconditional release of such indemnified party from all liability on claims that are the subject matter of such Proceeding and does not include any statement as to or an admission of fault, culpability or a failure to act, by or on behalf of such indemnified party.</w:t>
      </w:r>
    </w:p>
    <w:p>
      <w:pPr>
        <w:spacing w:after="0" w:line="3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(c)</w:t>
      </w:r>
      <w:r>
        <w:rPr>
          <w:rFonts w:ascii="Arial" w:cs="Arial" w:eastAsia="Arial" w:hAnsi="Arial"/>
          <w:sz w:val="16"/>
          <w:szCs w:val="16"/>
          <w:color w:val="000000"/>
        </w:rPr>
        <w:t>            If the indemnification provided for in this Section 7 is unavailable to an indemnified party under subsection (a) or (b) of this</w:t>
      </w:r>
      <w:r>
        <w:rPr>
          <w:rFonts w:ascii="Arial" w:cs="Arial" w:eastAsia="Arial" w:hAnsi="Arial"/>
          <w:sz w:val="16"/>
          <w:szCs w:val="16"/>
          <w:color w:val="010000"/>
        </w:rPr>
        <w:t xml:space="preserve"> </w:t>
      </w:r>
      <w:r>
        <w:rPr>
          <w:rFonts w:ascii="Arial" w:cs="Arial" w:eastAsia="Arial" w:hAnsi="Arial"/>
          <w:sz w:val="16"/>
          <w:szCs w:val="16"/>
          <w:color w:val="000000"/>
        </w:rPr>
        <w:t>Section 7 or insufficient to hold an indemnified party harmless in respect of any losses, damages, expenses, liabilities or claims referred to therein, then the relevant indemnifying party shall contribute to the amount paid or payable by such indemnified party as a result of such losses, damages, expenses, liabilities or claims (i) in such proportion as is appropriate to reflect the relative benefits received by the Company, on the one hand, and the relevant Manager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of such Manager, on the other, in connection with the statements or omissions which resulted in such losses, damages, expenses, liabilities or claims, as well as any other relevant equitable considerations. The relative benefits received by the Company, the Managers shall be deemed to be in the same respective proportions as (a) in the case of the Company, the aggregate Sales Price for the relevant Shares sold by the Managers under this Agreement and (b) in the case of a Manager, the total commissions received from the sale of such Shares under this Agreement. The relative fault of the Company, on the one hand, and of the relevant Manager, on the other, shall be determined by reference to, among other things, whether the untrue statement or alleged untrue statement of a material fact or omission or alleged omission relates to information supplied by the Company or by such Manager and the parties’ relative intent, knowledge, access to information and opportunity to correct or prevent such statement or omission. The amount paid or payable by a party as a result of the losses, damages, expenses, liabilities and claims referred to in this subsection (c) shall be deemed to include any legal or other fees or expenses reasonably incurred by such party in connection with investigating, preparing to defend or defending any Proceeding. For the avoidance of doubt, any obligations of the Managers under this Section 7(c) shall be several, and not joint.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firstLine="1296"/>
        <w:spacing w:after="0" w:line="291" w:lineRule="auto"/>
        <w:rPr>
          <w:sz w:val="20"/>
          <w:szCs w:val="20"/>
          <w:color w:val="auto"/>
        </w:rPr>
      </w:pPr>
      <w:r>
        <w:rPr>
          <w:rFonts w:ascii="Arial" w:cs="Arial" w:eastAsia="Arial" w:hAnsi="Arial"/>
          <w:sz w:val="16"/>
          <w:szCs w:val="16"/>
          <w:color w:val="010000"/>
        </w:rPr>
        <w:t>(d)</w:t>
      </w:r>
      <w:r>
        <w:rPr>
          <w:rFonts w:ascii="Arial" w:cs="Arial" w:eastAsia="Arial" w:hAnsi="Arial"/>
          <w:sz w:val="16"/>
          <w:szCs w:val="16"/>
          <w:color w:val="000000"/>
        </w:rPr>
        <w:t>            The Company and each Manager agrees that it would not be just and equitable if contributions pursuant to this Section 7 were</w:t>
      </w:r>
      <w:r>
        <w:rPr>
          <w:rFonts w:ascii="Arial" w:cs="Arial" w:eastAsia="Arial" w:hAnsi="Arial"/>
          <w:sz w:val="16"/>
          <w:szCs w:val="16"/>
          <w:color w:val="010000"/>
        </w:rPr>
        <w:t xml:space="preserve"> </w:t>
      </w:r>
      <w:r>
        <w:rPr>
          <w:rFonts w:ascii="Arial" w:cs="Arial" w:eastAsia="Arial" w:hAnsi="Arial"/>
          <w:sz w:val="16"/>
          <w:szCs w:val="16"/>
          <w:color w:val="000000"/>
        </w:rPr>
        <w:t>determined by pro rata allocation or by any other method of allocation which does not take account of the equitable considerations referred to in subsection</w:t>
      </w:r>
    </w:p>
    <w:p>
      <w:pPr>
        <w:jc w:val="both"/>
        <w:ind w:firstLine="8"/>
        <w:spacing w:after="0" w:line="253" w:lineRule="auto"/>
        <w:tabs>
          <w:tab w:leader="none" w:pos="2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Notwithstanding the provisions of this Section 7, no Manager shall be required to contribute any amount in excess of the amount by which the total price at which the Shares sold by it were offered to the public exceeds the amount of any damages that such Manager has otherwise been required to pay. No person guilty of fraudulent misrepresentation (within the meaning of Section 11(f) of the Act) shall be entitled to contribution from any person who was not guilty of such fraudulent misrepresentation.</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(e)</w:t>
      </w:r>
      <w:r>
        <w:rPr>
          <w:rFonts w:ascii="Arial" w:cs="Arial" w:eastAsia="Arial" w:hAnsi="Arial"/>
          <w:sz w:val="18"/>
          <w:szCs w:val="18"/>
          <w:color w:val="000000"/>
        </w:rPr>
        <w:t>            The Company and each Manager agrees promptly to notify each other of the commencement of any Proceeding against it and, in</w:t>
      </w:r>
      <w:r>
        <w:rPr>
          <w:rFonts w:ascii="Arial" w:cs="Arial" w:eastAsia="Arial" w:hAnsi="Arial"/>
          <w:sz w:val="18"/>
          <w:szCs w:val="18"/>
          <w:color w:val="010000"/>
        </w:rPr>
        <w:t xml:space="preserve"> </w:t>
      </w:r>
      <w:r>
        <w:rPr>
          <w:rFonts w:ascii="Arial" w:cs="Arial" w:eastAsia="Arial" w:hAnsi="Arial"/>
          <w:sz w:val="18"/>
          <w:szCs w:val="18"/>
          <w:color w:val="000000"/>
        </w:rPr>
        <w:t>the case of the Company, against any of the Company’s officers or directors in connection with the issuance and sale of the Shares, or in connection with the Registration Statement, the Base Prospectus or the Prospectus.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8:          </w:t>
      </w:r>
      <w:r>
        <w:rPr>
          <w:rFonts w:ascii="Arial" w:cs="Arial" w:eastAsia="Arial" w:hAnsi="Arial"/>
          <w:sz w:val="17"/>
          <w:szCs w:val="17"/>
          <w:u w:val="single" w:color="auto"/>
          <w:color w:val="auto"/>
        </w:rPr>
        <w:t>  Representations and Agreements to Survive Delivery</w:t>
      </w:r>
      <w:r>
        <w:rPr>
          <w:rFonts w:ascii="Arial" w:cs="Arial" w:eastAsia="Arial" w:hAnsi="Arial"/>
          <w:sz w:val="17"/>
          <w:szCs w:val="17"/>
          <w:color w:val="auto"/>
        </w:rPr>
        <w:t>. The indemnity and contribution agreements contained in Section 7 hereof and the covenants, warranties and representations of the Company contained in this Agreement or in certificates delivered pursuant hereto shall remain in full force and effect regardless of any investigation made by or on behalf of any Manager, each of its respective employees, agents, directors or officers, any person (including each employee, agent, officer or director of such person) who controls such Manager within the meaning of Section 15 of the Act or Section 20 of the Exchange Act, any “affiliate” (within the meaning of Rule 405 under the Act) of such Manager that has, or is alleged to have, participated in the distribution of Shares or the successors and assigns of the foregoing, or by or on behalf of the Company, their directors or officers or any person who controls the Company within the meaning of Section 15 of the Act or Section 20 of the Exchange Act, and shall survive any termination of this Agreement or the issuance and delivery of the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9:         </w:t>
      </w:r>
      <w:r>
        <w:rPr>
          <w:rFonts w:ascii="Arial" w:cs="Arial" w:eastAsia="Arial" w:hAnsi="Arial"/>
          <w:sz w:val="18"/>
          <w:szCs w:val="18"/>
          <w:u w:val="single" w:color="auto"/>
          <w:color w:val="auto"/>
        </w:rPr>
        <w:t>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(a)</w:t>
      </w:r>
      <w:r>
        <w:rPr>
          <w:rFonts w:ascii="Arial" w:cs="Arial" w:eastAsia="Arial" w:hAnsi="Arial"/>
          <w:sz w:val="18"/>
          <w:szCs w:val="18"/>
          <w:color w:val="000000"/>
        </w:rPr>
        <w:t>            The Company shall have the right, by giving written notice as hereinafter specified, to terminate this Agreement in its sole</w:t>
      </w:r>
      <w:r>
        <w:rPr>
          <w:rFonts w:ascii="Arial" w:cs="Arial" w:eastAsia="Arial" w:hAnsi="Arial"/>
          <w:sz w:val="18"/>
          <w:szCs w:val="18"/>
          <w:color w:val="010000"/>
        </w:rPr>
        <w:t xml:space="preserve"> </w:t>
      </w:r>
      <w:r>
        <w:rPr>
          <w:rFonts w:ascii="Arial" w:cs="Arial" w:eastAsia="Arial" w:hAnsi="Arial"/>
          <w:sz w:val="18"/>
          <w:szCs w:val="18"/>
          <w:color w:val="000000"/>
        </w:rPr>
        <w:t>discretion at any time. Any such termination shall be without liability of any party to any other party except that (i) with respect to any pending sale, through any Manager for the Company, the obligations of the Company, including in respect of compensation of such Manager, shall remain in full force and effect notwithstanding the termination and (ii) the provisions of Sections 5, 7, 8, 10, 11, 12, 17 and 19 hereof and the terms of any Terms Agreement shall remain in full force and effect notwithstanding such termination.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301" w:lineRule="auto"/>
        <w:rPr>
          <w:sz w:val="20"/>
          <w:szCs w:val="20"/>
          <w:color w:val="auto"/>
        </w:rPr>
      </w:pPr>
      <w:r>
        <w:rPr>
          <w:rFonts w:ascii="Arial" w:cs="Arial" w:eastAsia="Arial" w:hAnsi="Arial"/>
          <w:sz w:val="16"/>
          <w:szCs w:val="16"/>
          <w:color w:val="010000"/>
        </w:rPr>
        <w:t>(b)</w:t>
      </w:r>
      <w:r>
        <w:rPr>
          <w:rFonts w:ascii="Arial" w:cs="Arial" w:eastAsia="Arial" w:hAnsi="Arial"/>
          <w:sz w:val="16"/>
          <w:szCs w:val="16"/>
          <w:color w:val="000000"/>
        </w:rPr>
        <w:t>            Each Manager shall, as to itself, have the right, by giving written notice as hereinafter specified, to terminate its own obligations</w:t>
      </w:r>
      <w:r>
        <w:rPr>
          <w:rFonts w:ascii="Arial" w:cs="Arial" w:eastAsia="Arial" w:hAnsi="Arial"/>
          <w:sz w:val="16"/>
          <w:szCs w:val="16"/>
          <w:color w:val="010000"/>
        </w:rPr>
        <w:t xml:space="preserve"> </w:t>
      </w:r>
      <w:r>
        <w:rPr>
          <w:rFonts w:ascii="Arial" w:cs="Arial" w:eastAsia="Arial" w:hAnsi="Arial"/>
          <w:sz w:val="16"/>
          <w:szCs w:val="16"/>
          <w:color w:val="000000"/>
        </w:rPr>
        <w:t xml:space="preserve">under this Agreement in its sole discretion at any time;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this Agreement and the obligations hereunder will remain in full force and effect with respect to the Managers that have not so terminated their obligations. Any such termination shall be without liability of any party to any other party except that the provisions of Sections 5, 7, 8, 10, 11, 12, 17 and 19 hereof shall remain in full force and effect notwithstanding such termination.</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(c)</w:t>
      </w:r>
      <w:r>
        <w:rPr>
          <w:rFonts w:ascii="Arial" w:cs="Arial" w:eastAsia="Arial" w:hAnsi="Arial"/>
          <w:sz w:val="18"/>
          <w:szCs w:val="18"/>
          <w:color w:val="000000"/>
        </w:rPr>
        <w:t>            This Agreement shall remain in full force and effect until the earlier of (i) September 1, 2025 or (ii) its termination pursuant to</w:t>
      </w:r>
      <w:r>
        <w:rPr>
          <w:rFonts w:ascii="Arial" w:cs="Arial" w:eastAsia="Arial" w:hAnsi="Arial"/>
          <w:sz w:val="18"/>
          <w:szCs w:val="18"/>
          <w:color w:val="010000"/>
        </w:rPr>
        <w:t xml:space="preserve"> </w:t>
      </w:r>
      <w:r>
        <w:rPr>
          <w:rFonts w:ascii="Arial" w:cs="Arial" w:eastAsia="Arial" w:hAnsi="Arial"/>
          <w:sz w:val="18"/>
          <w:szCs w:val="18"/>
          <w:color w:val="000000"/>
        </w:rPr>
        <w:t xml:space="preserve">Sections 9(a) or (b) above or otherwise by mutual agreement of the parties;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any such termination by mutual agreement shall in all cases be deemed to provide that Sections 5, 7, 8, 10, 11, 12, 17 and 19 hereof shall remain in full force and effect.</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(d)</w:t>
      </w:r>
      <w:r>
        <w:rPr>
          <w:rFonts w:ascii="Arial" w:cs="Arial" w:eastAsia="Arial" w:hAnsi="Arial"/>
          <w:sz w:val="17"/>
          <w:szCs w:val="17"/>
          <w:color w:val="000000"/>
        </w:rPr>
        <w:t>            Any termination of this Agreement shall be effective on the date specified in such notice of termination; provided that such</w:t>
      </w:r>
      <w:r>
        <w:rPr>
          <w:rFonts w:ascii="Arial" w:cs="Arial" w:eastAsia="Arial" w:hAnsi="Arial"/>
          <w:sz w:val="17"/>
          <w:szCs w:val="17"/>
          <w:color w:val="010000"/>
        </w:rPr>
        <w:t xml:space="preserve"> </w:t>
      </w:r>
      <w:r>
        <w:rPr>
          <w:rFonts w:ascii="Arial" w:cs="Arial" w:eastAsia="Arial" w:hAnsi="Arial"/>
          <w:sz w:val="17"/>
          <w:szCs w:val="17"/>
          <w:color w:val="000000"/>
        </w:rPr>
        <w:t>termination shall not be effective until the close of business on the date of receipt of such notice by each other party hereto. If such termination shall occur prior to the Settlement Date for any sale of the Shares, such sale shall settle in accordance with the provisions of Section 3(g) hereof.</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(e)</w:t>
      </w:r>
      <w:r>
        <w:rPr>
          <w:rFonts w:ascii="Arial" w:cs="Arial" w:eastAsia="Arial" w:hAnsi="Arial"/>
          <w:sz w:val="18"/>
          <w:szCs w:val="18"/>
          <w:color w:val="000000"/>
        </w:rPr>
        <w:t>            Unless earlier terminated pursuant to this Section 9, this Agreement shall automatically terminate upon the issuance and sale of all</w:t>
      </w:r>
      <w:r>
        <w:rPr>
          <w:rFonts w:ascii="Arial" w:cs="Arial" w:eastAsia="Arial" w:hAnsi="Arial"/>
          <w:sz w:val="18"/>
          <w:szCs w:val="18"/>
          <w:color w:val="010000"/>
        </w:rPr>
        <w:t xml:space="preserve"> </w:t>
      </w:r>
      <w:r>
        <w:rPr>
          <w:rFonts w:ascii="Arial" w:cs="Arial" w:eastAsia="Arial" w:hAnsi="Arial"/>
          <w:sz w:val="18"/>
          <w:szCs w:val="18"/>
          <w:color w:val="000000"/>
        </w:rPr>
        <w:t>of the Shares through any Manager on the terms and subject to the conditions set forth herein, except that Sections 5, 7, 8, 10, 11, 12, 17 and 19 and shall remain in full force and effect.</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10:      </w:t>
      </w:r>
      <w:r>
        <w:rPr>
          <w:rFonts w:ascii="Arial" w:cs="Arial" w:eastAsia="Arial" w:hAnsi="Arial"/>
          <w:sz w:val="16"/>
          <w:szCs w:val="16"/>
          <w:u w:val="single" w:color="auto"/>
          <w:color w:val="auto"/>
        </w:rPr>
        <w:t>  Notices</w:t>
      </w:r>
      <w:r>
        <w:rPr>
          <w:rFonts w:ascii="Arial" w:cs="Arial" w:eastAsia="Arial" w:hAnsi="Arial"/>
          <w:sz w:val="16"/>
          <w:szCs w:val="16"/>
          <w:color w:val="auto"/>
        </w:rPr>
        <w:t>. Except as otherwise herein provided, all statements, requests, notices and agreements under this Agreement shall be in writing and delivered by hand, overnight courier, mail or email (with confirmation of receipt) and, if to the Managers, shall be delivered or sent to, as applicable, BofA Securities, Inc., One Bryant Park, New York, New York 10036, attention of ATM Execution, dg.atm_execution@bofa.com, with a copy to Attention: ECM Legal (email: dg.ecm_legal@bofa.com), Barclays Capital Inc., 745 Seventh Avenue, New York, NY 10019, Attention: Syndicate Registration, fax: 646-834-8133 and Citigroup Global Markets Inc., 388 Greenwich Street, New York, New York 10013, Attention: General Counsel (fax:</w:t>
      </w:r>
    </w:p>
    <w:p>
      <w:pPr>
        <w:spacing w:after="0" w:line="2" w:lineRule="exact"/>
        <w:rPr>
          <w:sz w:val="20"/>
          <w:szCs w:val="20"/>
          <w:color w:val="auto"/>
        </w:rPr>
      </w:pPr>
    </w:p>
    <w:p>
      <w:pPr>
        <w:jc w:val="both"/>
        <w:ind w:firstLine="8"/>
        <w:spacing w:after="0" w:line="255" w:lineRule="auto"/>
        <w:tabs>
          <w:tab w:leader="none" w:pos="4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291-1469) and, if sent to the Company, shall be directed to it at 7373 Gateway Blvd, Newark, CA 94560, Attention: General Counsel, Email: Legal@lucidmotors.com. Each party to this Agreement may change such address for notices by sending to the parties to this Agreement written notice of a new address for such purpose.</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11:        </w:t>
      </w:r>
      <w:r>
        <w:rPr>
          <w:rFonts w:ascii="Arial" w:cs="Arial" w:eastAsia="Arial" w:hAnsi="Arial"/>
          <w:sz w:val="17"/>
          <w:szCs w:val="17"/>
          <w:u w:val="single" w:color="auto"/>
          <w:color w:val="auto"/>
        </w:rPr>
        <w:t>  Parties at Interest</w:t>
      </w:r>
      <w:r>
        <w:rPr>
          <w:rFonts w:ascii="Arial" w:cs="Arial" w:eastAsia="Arial" w:hAnsi="Arial"/>
          <w:sz w:val="17"/>
          <w:szCs w:val="17"/>
          <w:color w:val="auto"/>
        </w:rPr>
        <w:t>. The Agreement herein set forth has been and is made solely for the benefit of the Company and the Managers and, to the extent provided in Section 7 hereof, the other indemnified parties referred to in such section, and their respective successors, assigns, heirs, personal representatives and executors and administrators. No other person, partnership, association or corporation (including a purchaser, as such purchaser, through or from any Manager) shall acquire or have any right under or by virtue of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12:       </w:t>
      </w:r>
      <w:r>
        <w:rPr>
          <w:rFonts w:ascii="Arial" w:cs="Arial" w:eastAsia="Arial" w:hAnsi="Arial"/>
          <w:sz w:val="16"/>
          <w:szCs w:val="16"/>
          <w:u w:val="single" w:color="auto"/>
          <w:color w:val="auto"/>
        </w:rPr>
        <w:t>  No Fiduciary Relationship</w:t>
      </w:r>
      <w:r>
        <w:rPr>
          <w:rFonts w:ascii="Arial" w:cs="Arial" w:eastAsia="Arial" w:hAnsi="Arial"/>
          <w:sz w:val="16"/>
          <w:szCs w:val="16"/>
          <w:color w:val="auto"/>
        </w:rPr>
        <w:t>. The Company hereby acknowledges that each Manager is acting solely as sales agent and/or principal in connection with the purchase and sale of the Shares. The Company further acknowledges that each Manager is acting pursuant to a contractual relationship created solely by this Agreement entered into on an arm’s length basis, and, in no event, do the parties intend that any Manager act or be responsible as a fiduciary to the Company or its management, shareholders or creditors or any other person in connection with any activity that any Manager may undertake or has undertaken in furtherance of the purchase and sale of the Company’s securities, either before or after the date hereof. Each Manager hereby expressly disclaims any fiduciary or similar obligations to the Company, either in connection with the transactions contemplated by this Agreement or any matters leading up to such transactions, and the Company hereby confirms its understanding and agreement to that effect. The Company and each Manager agrees that the Company is responsible for making its own independent judgments with respect to any such transactions and that any opinions or views expressed by any Manager to the Company regarding such transactions, including, but not limited to, any opinions or views with respect to the price or market for the Company’s securities, do not constitute advice or recommendations to or solicitation of any action by any Manager with respect to the Company or any other entity or natural person. The Company hereby waives and releases, to the fullest extent permitted by law, any claims that the Company may have against any Manager with respect to any breach or alleged breach of any fiduciary or similar duty to the Company in connection with the transactions contemplated by this Agreement or any matters leading up to such transactions.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57" w:lineRule="auto"/>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  Press Releases and Disclosure</w:t>
      </w:r>
      <w:r>
        <w:rPr>
          <w:rFonts w:ascii="Arial" w:cs="Arial" w:eastAsia="Arial" w:hAnsi="Arial"/>
          <w:sz w:val="18"/>
          <w:szCs w:val="18"/>
          <w:color w:val="auto"/>
        </w:rPr>
        <w:t>. The Company may issue a press release in compliance with Rule 134 under the Act describing the material terms of the transactions contemplated hereby as soon as practicable following the date hereof and may file with the Commission a Current Report on Form 8-K describing the material terms of the transaction contemplated hereby, and the Company shall consult with the Managers prior to making such disclosures, and the parties shall use commercially reasonable efforts, acting in good faith, to agree upon the text of such disclosure that is reasonably satisfactory to all parties.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  Adjustments for Stock Splits</w:t>
      </w:r>
      <w:r>
        <w:rPr>
          <w:rFonts w:ascii="Arial" w:cs="Arial" w:eastAsia="Arial" w:hAnsi="Arial"/>
          <w:sz w:val="18"/>
          <w:szCs w:val="18"/>
          <w:color w:val="auto"/>
        </w:rPr>
        <w:t>. The parties acknowledge and agree that all share-related numbers contained in this Agreement shall be adjusted to take into account any stock split effected with respect to the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Agreement, together with the side letter dated the date hereof and any Terms Agreement, constitutes the entire agreement and supersedes all other prior and contemporaneous agreements and undertakings, both written and oral, among the parties hereto with regard to the subject matter hereof.</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Agreement may be signed by the parties in one or more counterparts which together shall constitute one and the same agreement among the parties. Counterparts may be delivered via facsimile, electronic mail (including via www.docusign.com and any other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  Law; Construction</w:t>
      </w:r>
      <w:r>
        <w:rPr>
          <w:rFonts w:ascii="Arial" w:cs="Arial" w:eastAsia="Arial" w:hAnsi="Arial"/>
          <w:sz w:val="18"/>
          <w:szCs w:val="18"/>
          <w:color w:val="auto"/>
        </w:rPr>
        <w:t>. This Agreement and any claim, counterclaim or dispute of any kind or nature whatsoever arising out of or in any way relating to this Agreement, directly or indirectly, shall be governed by, and construed in accordance with, the internal laws of the State of New York.</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  Headings</w:t>
      </w:r>
      <w:r>
        <w:rPr>
          <w:rFonts w:ascii="Arial" w:cs="Arial" w:eastAsia="Arial" w:hAnsi="Arial"/>
          <w:sz w:val="18"/>
          <w:szCs w:val="18"/>
          <w:color w:val="auto"/>
        </w:rPr>
        <w:t>. The Section headings in this Agreement have been inserted as a matter of convenience of reference and are not a part of this Agreement.</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19:          </w:t>
      </w:r>
      <w:r>
        <w:rPr>
          <w:rFonts w:ascii="Arial" w:cs="Arial" w:eastAsia="Arial" w:hAnsi="Arial"/>
          <w:sz w:val="16"/>
          <w:szCs w:val="16"/>
          <w:u w:val="single" w:color="auto"/>
          <w:color w:val="auto"/>
        </w:rPr>
        <w:t>  Submission to Jurisdiction</w:t>
      </w:r>
      <w:r>
        <w:rPr>
          <w:rFonts w:ascii="Arial" w:cs="Arial" w:eastAsia="Arial" w:hAnsi="Arial"/>
          <w:sz w:val="16"/>
          <w:szCs w:val="16"/>
          <w:color w:val="auto"/>
        </w:rPr>
        <w:t>. Except as set forth below, no claim, proceeding, counterclaim or other action related to or arising out of this Agreement or the transactions contemplated hereby (each, a “</w:t>
      </w:r>
      <w:r>
        <w:rPr>
          <w:rFonts w:ascii="Arial" w:cs="Arial" w:eastAsia="Arial" w:hAnsi="Arial"/>
          <w:sz w:val="16"/>
          <w:szCs w:val="16"/>
          <w:u w:val="single" w:color="auto"/>
          <w:color w:val="auto"/>
        </w:rPr>
        <w:t>Claim</w:t>
      </w:r>
      <w:r>
        <w:rPr>
          <w:rFonts w:ascii="Arial" w:cs="Arial" w:eastAsia="Arial" w:hAnsi="Arial"/>
          <w:sz w:val="16"/>
          <w:szCs w:val="16"/>
          <w:color w:val="auto"/>
        </w:rPr>
        <w:t>”) may be commenced, prosecuted or continued in any court other than the courts of the State of New York located in the City and County of New York, Borough of Manhattan,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is brought by any third party against any Manager or any indemnified party. Each of the Managers and the Company (on its behalf and, to the extent permitted by applicable law, on behalf of its shareholders and affiliates) waives all right to trial by jury in any Claim (whether based upon contract, tort or otherwise). The Company agrees that a final judgment in any Claim brought in any such court shall be conclusive and binding upon the Company and may be enforced in any other courts to the jurisdiction of which the Company is or may be subject, by suit upon such judgment.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342" w:lineRule="auto"/>
        <w:rPr>
          <w:sz w:val="20"/>
          <w:szCs w:val="20"/>
          <w:color w:val="auto"/>
        </w:rPr>
      </w:pPr>
      <w:r>
        <w:rPr>
          <w:rFonts w:ascii="Arial" w:cs="Arial" w:eastAsia="Arial" w:hAnsi="Arial"/>
          <w:sz w:val="16"/>
          <w:szCs w:val="16"/>
          <w:color w:val="auto"/>
        </w:rPr>
        <w:t>SECTION 20:        </w:t>
      </w:r>
      <w:r>
        <w:rPr>
          <w:rFonts w:ascii="Arial" w:cs="Arial" w:eastAsia="Arial" w:hAnsi="Arial"/>
          <w:sz w:val="16"/>
          <w:szCs w:val="16"/>
          <w:u w:val="single" w:color="auto"/>
          <w:color w:val="auto"/>
        </w:rPr>
        <w:t>  Successors and Assigns</w:t>
      </w:r>
      <w:r>
        <w:rPr>
          <w:rFonts w:ascii="Arial" w:cs="Arial" w:eastAsia="Arial" w:hAnsi="Arial"/>
          <w:sz w:val="16"/>
          <w:szCs w:val="16"/>
          <w:color w:val="auto"/>
        </w:rPr>
        <w:t>. This Agreement shall be binding upon the Company and each Manager and their respective successors and assigns and any successor or assign of all or substantially all of the Company’s or such Manager’s respective businesses and/or assets.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SECTION 21:        </w:t>
      </w:r>
      <w:r>
        <w:rPr>
          <w:rFonts w:ascii="Arial" w:cs="Arial" w:eastAsia="Arial" w:hAnsi="Arial"/>
          <w:sz w:val="16"/>
          <w:szCs w:val="16"/>
          <w:u w:val="single" w:color="auto"/>
          <w:color w:val="auto"/>
        </w:rPr>
        <w:t>  Miscellaneous</w:t>
      </w:r>
      <w:r>
        <w:rPr>
          <w:rFonts w:ascii="Arial" w:cs="Arial" w:eastAsia="Arial" w:hAnsi="Arial"/>
          <w:sz w:val="16"/>
          <w:szCs w:val="16"/>
          <w:color w:val="auto"/>
        </w:rPr>
        <w:t>. Securities sold, offered or recommended by any Manager are not deposits, are not insured by the Federal Deposit Insurance Corporation, are not guaranteed by a branch or agency, and are not otherwise an obligation or responsibility of a branch or agency. Lending affiliates of any Manager have or may in the future have lending relationships with issuers of securities underwritten or privately placed by such Manager. Prospectuses and other disclosure documents for securities underwritten or privately placed by any Manager may disclose the existence of any such lending relationships and whether the proceeds of the issue may be used to repay debts owed to affiliates of such Manager.</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22:       </w:t>
      </w:r>
      <w:r>
        <w:rPr>
          <w:rFonts w:ascii="Arial" w:cs="Arial" w:eastAsia="Arial" w:hAnsi="Arial"/>
          <w:sz w:val="18"/>
          <w:szCs w:val="18"/>
          <w:u w:val="single" w:color="auto"/>
          <w:color w:val="auto"/>
        </w:rPr>
        <w:t>  Compliance with USA Patriot Act</w:t>
      </w:r>
      <w:r>
        <w:rPr>
          <w:rFonts w:ascii="Arial" w:cs="Arial" w:eastAsia="Arial" w:hAnsi="Arial"/>
          <w:sz w:val="18"/>
          <w:szCs w:val="18"/>
          <w:color w:val="auto"/>
        </w:rPr>
        <w:t>. In accordance with the requirements of the USA Patriot Act (Title III of Pub. L. 107- 56 (signed into law October 26, 2001)), the Managers are required to obtain, verify and record information that identifies their respective clients, including the Company, which information may include the name and address of their respective clients, as well as other information that will allow the Managers to properly identify their respective clients.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23:       </w:t>
      </w:r>
      <w:r>
        <w:rPr>
          <w:rFonts w:ascii="Arial" w:cs="Arial" w:eastAsia="Arial" w:hAnsi="Arial"/>
          <w:sz w:val="18"/>
          <w:szCs w:val="18"/>
          <w:u w:val="single" w:color="auto"/>
          <w:color w:val="auto"/>
        </w:rPr>
        <w:t>  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            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(ii)            In the event that any Manager that is a Covered Entity or any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Section 23: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jc w:val="both"/>
        <w:ind w:left="1300" w:right="1380"/>
        <w:spacing w:after="0" w:line="563" w:lineRule="auto"/>
        <w:rPr>
          <w:sz w:val="20"/>
          <w:szCs w:val="20"/>
          <w:color w:val="auto"/>
        </w:rPr>
      </w:pPr>
      <w:r>
        <w:rPr>
          <w:rFonts w:ascii="Arial" w:cs="Arial" w:eastAsia="Arial" w:hAnsi="Arial"/>
          <w:sz w:val="16"/>
          <w:szCs w:val="16"/>
          <w:color w:val="auto"/>
        </w:rPr>
        <w:t>(i)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5" w:name="page36"/>
    <w:bookmarkEnd w:id="35"/>
    <w:p>
      <w:pPr>
        <w:ind w:firstLine="648"/>
        <w:spacing w:after="0" w:line="342" w:lineRule="auto"/>
        <w:rPr>
          <w:sz w:val="20"/>
          <w:szCs w:val="20"/>
          <w:color w:val="auto"/>
        </w:rPr>
      </w:pPr>
      <w:r>
        <w:rPr>
          <w:rFonts w:ascii="Arial" w:cs="Arial" w:eastAsia="Arial" w:hAnsi="Arial"/>
          <w:sz w:val="16"/>
          <w:szCs w:val="16"/>
          <w:color w:val="auto"/>
        </w:rPr>
        <w:t>If the foregoing correctly sets forth the understanding between the Company and the Managers please so indicate in the space provided below for that purpose, whereupon this Agreement and your acceptance shall constitute a binding agreement between the Company and the Managers.</w:t>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Equity Distribution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ACCEPTED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Securities,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Greg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Greg Kelly</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 Capital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Stowe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Stowe</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Niraj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Niraj Shah</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Equity Distribution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Mustally Hussain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3(a)(i)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From:</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Cc:</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10"/>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Subject:</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w w:val="94"/>
              </w:rPr>
              <w:t>At-the-Market Offering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terms and subject to the conditions contained in the Equity Distribution Agreement among Lucid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BofA Securities, Inc., Barclays Capital Inc. and Citigroup Global Markets Inc., as Managers, dated November 8, 2022 (the “</w:t>
      </w:r>
      <w:r>
        <w:rPr>
          <w:rFonts w:ascii="Arial" w:cs="Arial" w:eastAsia="Arial" w:hAnsi="Arial"/>
          <w:sz w:val="17"/>
          <w:szCs w:val="17"/>
          <w:u w:val="single" w:color="auto"/>
          <w:color w:val="auto"/>
        </w:rPr>
        <w:t>Agreement</w:t>
      </w:r>
      <w:r>
        <w:rPr>
          <w:rFonts w:ascii="Arial" w:cs="Arial" w:eastAsia="Arial" w:hAnsi="Arial"/>
          <w:sz w:val="17"/>
          <w:szCs w:val="17"/>
          <w:color w:val="auto"/>
        </w:rPr>
        <w:t>”), I hereby request on behalf of the Company that [•] sell up to [•]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$0.0001, at a minimum market price of $[•] per Share between [ ], 20[ ] and [ ], 20[ ]. [There shall be no limitation on the number of Shares that may be sold on any one (1) day.][No more than [•] Shares may be sold on any one (1) day.] [Other sales parameters]</w:t>
      </w:r>
    </w:p>
    <w:p>
      <w:pPr>
        <w:spacing w:after="0" w:line="3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9154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davispolk.com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CA 94560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filed with the Securities and Exchange Commission a Registration Statement on Form S 3 (File No. 333-267147)(the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certain securities, including shares of the Company’s Class A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having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offering price of up to $600,000,000 (the “</w:t>
      </w:r>
      <w:r>
        <w:rPr>
          <w:rFonts w:ascii="Arial" w:cs="Arial" w:eastAsia="Arial" w:hAnsi="Arial"/>
          <w:sz w:val="18"/>
          <w:szCs w:val="18"/>
          <w:b w:val="1"/>
          <w:bCs w:val="1"/>
          <w:color w:val="auto"/>
        </w:rPr>
        <w:t>Shares</w:t>
      </w:r>
      <w:r>
        <w:rPr>
          <w:rFonts w:ascii="Arial" w:cs="Arial" w:eastAsia="Arial" w:hAnsi="Arial"/>
          <w:sz w:val="18"/>
          <w:szCs w:val="18"/>
          <w:color w:val="auto"/>
        </w:rPr>
        <w:t>”) to be sold from time to time pursuant to the Equity Distribution Agreement dated November 8, 2022 (the “</w:t>
      </w:r>
      <w:r>
        <w:rPr>
          <w:rFonts w:ascii="Arial" w:cs="Arial" w:eastAsia="Arial" w:hAnsi="Arial"/>
          <w:sz w:val="18"/>
          <w:szCs w:val="18"/>
          <w:b w:val="1"/>
          <w:bCs w:val="1"/>
          <w:color w:val="auto"/>
        </w:rPr>
        <w:t>Equity Distribution Agreement</w:t>
      </w:r>
      <w:r>
        <w:rPr>
          <w:rFonts w:ascii="Arial" w:cs="Arial" w:eastAsia="Arial" w:hAnsi="Arial"/>
          <w:sz w:val="18"/>
          <w:szCs w:val="18"/>
          <w:color w:val="auto"/>
        </w:rPr>
        <w:t>”) among the Company and BofA Securities, Inc., Barclays Capital Inc. and Citigroup Global Markets Inc.</w:t>
      </w:r>
    </w:p>
    <w:p>
      <w:pPr>
        <w:spacing w:after="0" w:line="1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Based upon the foregoing, and assuming the terms of any sales of Shares pursuant to the Equity Distribution Agreement are approved by the Company’s board of directors or a properly constituted and authorized committee thereof (or any of them delegates such approval to officers and such terms are approved by such officers), we advise you that, in our opinion, when the Shares have been issued and delivered against payment therefor in accordance with the terms of the Equity Distribution Agreement, the Shares will be validly issued, fully paid and non-assessable.</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rendering the foregoing opinion, we have assumed that upon the issuance of any of the Shares, the total number of shares of Common Stock issued and outstanding will not exceed the total number of shares of Common Stock that the Company is then authorized to issue under its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9154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We are members of the Bars of the States of New York and California and the foregoing opinion is limited to the laws of the State of New York and the General Corporation Law of the State of Delaware.</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w:t>
      </w:r>
      <w:r>
        <w:rPr>
          <w:rFonts w:ascii="Arial" w:cs="Arial" w:eastAsia="Arial" w:hAnsi="Arial"/>
          <w:sz w:val="18"/>
          <w:szCs w:val="18"/>
          <w:b w:val="1"/>
          <w:bCs w:val="1"/>
          <w:color w:val="auto"/>
        </w:rPr>
        <w:t>Legal Matters</w:t>
      </w:r>
      <w:r>
        <w:rPr>
          <w:rFonts w:ascii="Arial" w:cs="Arial" w:eastAsia="Arial" w:hAnsi="Arial"/>
          <w:sz w:val="18"/>
          <w:szCs w:val="18"/>
          <w:color w:val="auto"/>
        </w:rPr>
        <w:t>”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November 8, 2022</w:t>
            </w:r>
          </w:p>
        </w:tc>
        <w:tc>
          <w:tcPr>
            <w:tcW w:w="4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143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AYAR THIRD INVESTMENT COMPANY</w:t>
      </w:r>
    </w:p>
    <w:p>
      <w:pPr>
        <w:spacing w:after="0" w:line="23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2" w:name="page43"/>
    <w:bookmarkEnd w:id="42"/>
    <w:p>
      <w:pPr>
        <w:ind w:right="280"/>
        <w:spacing w:after="0" w:line="266" w:lineRule="auto"/>
        <w:rPr>
          <w:sz w:val="20"/>
          <w:szCs w:val="20"/>
          <w:color w:val="auto"/>
        </w:rPr>
      </w:pPr>
      <w:r>
        <w:rPr>
          <w:rFonts w:ascii="Arial" w:cs="Arial" w:eastAsia="Arial" w:hAnsi="Arial"/>
          <w:sz w:val="18"/>
          <w:szCs w:val="18"/>
          <w:b w:val="1"/>
          <w:bCs w:val="1"/>
          <w:color w:val="auto"/>
        </w:rPr>
        <w:t>SUBSCRIPTION AGREEMENT</w:t>
      </w:r>
      <w:r>
        <w:rPr>
          <w:rFonts w:ascii="Arial" w:cs="Arial" w:eastAsia="Arial" w:hAnsi="Arial"/>
          <w:sz w:val="18"/>
          <w:szCs w:val="18"/>
          <w:color w:val="auto"/>
        </w:rPr>
        <w:t>, dated as of November 8, 2022 (this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Lucid Group, Inc.,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Ayar Third Investment Company, a single shareholder limited liability company organized under the laws of the Kingdom of Saudi Arabia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8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WHEREAS, concurrently with this Agreement, the Company is entering into an Equity Distribution Agreement, dated as of the date hereof (the “</w:t>
      </w:r>
      <w:r>
        <w:rPr>
          <w:rFonts w:ascii="Arial" w:cs="Arial" w:eastAsia="Arial" w:hAnsi="Arial"/>
          <w:sz w:val="17"/>
          <w:szCs w:val="17"/>
          <w:b w:val="1"/>
          <w:bCs w:val="1"/>
          <w:color w:val="auto"/>
        </w:rPr>
        <w:t>ATM Agreement</w:t>
      </w:r>
      <w:r>
        <w:rPr>
          <w:rFonts w:ascii="Arial" w:cs="Arial" w:eastAsia="Arial" w:hAnsi="Arial"/>
          <w:sz w:val="17"/>
          <w:szCs w:val="17"/>
          <w:color w:val="auto"/>
        </w:rPr>
        <w:t>”), by and among the Company and BofA Securities, Inc., Barclays Capital Inc. and Citigroup Global Markets Inc., pursuant to which the Company may offer shares of its Class A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with an aggregate offering price of up to $600 million from time to time (the “</w:t>
      </w:r>
      <w:r>
        <w:rPr>
          <w:rFonts w:ascii="Arial" w:cs="Arial" w:eastAsia="Arial" w:hAnsi="Arial"/>
          <w:sz w:val="17"/>
          <w:szCs w:val="17"/>
          <w:b w:val="1"/>
          <w:bCs w:val="1"/>
          <w:color w:val="auto"/>
        </w:rPr>
        <w:t>ATM Offering</w:t>
      </w:r>
      <w:r>
        <w:rPr>
          <w:rFonts w:ascii="Arial" w:cs="Arial" w:eastAsia="Arial" w:hAnsi="Arial"/>
          <w:sz w:val="17"/>
          <w:szCs w:val="17"/>
          <w:color w:val="auto"/>
        </w:rPr>
        <w:t>”) pursuant to the Registration Statement (as defined below).</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WHEREAS, throughout the Term (as defined below) of this Agreement, the Company may, at its sole discretion, conduct one or more other registered offerings of its Common Stock (any such offering, an “</w:t>
      </w:r>
      <w:r>
        <w:rPr>
          <w:rFonts w:ascii="Arial" w:cs="Arial" w:eastAsia="Arial" w:hAnsi="Arial"/>
          <w:sz w:val="18"/>
          <w:szCs w:val="18"/>
          <w:b w:val="1"/>
          <w:bCs w:val="1"/>
          <w:color w:val="auto"/>
        </w:rPr>
        <w:t>Other Public Offering</w:t>
      </w:r>
      <w:r>
        <w:rPr>
          <w:rFonts w:ascii="Arial" w:cs="Arial" w:eastAsia="Arial" w:hAnsi="Arial"/>
          <w:sz w:val="18"/>
          <w:szCs w:val="18"/>
          <w:color w:val="auto"/>
        </w:rPr>
        <w:t>,” and, together with the ATM Offering, the “</w:t>
      </w:r>
      <w:r>
        <w:rPr>
          <w:rFonts w:ascii="Arial" w:cs="Arial" w:eastAsia="Arial" w:hAnsi="Arial"/>
          <w:sz w:val="18"/>
          <w:szCs w:val="18"/>
          <w:b w:val="1"/>
          <w:bCs w:val="1"/>
          <w:color w:val="auto"/>
        </w:rPr>
        <w:t>Public Offerings</w:t>
      </w:r>
      <w:r>
        <w:rPr>
          <w:rFonts w:ascii="Arial" w:cs="Arial" w:eastAsia="Arial" w:hAnsi="Arial"/>
          <w:sz w:val="18"/>
          <w:szCs w:val="18"/>
          <w:color w:val="auto"/>
        </w:rPr>
        <w:t>”) pursuant to the Registration Statement (as defined below).</w:t>
      </w:r>
    </w:p>
    <w:p>
      <w:pPr>
        <w:spacing w:after="0" w:line="1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WHEREAS, during the Term of this Agreement, the Company desires to issue and sell to the Investor, and the Investor desires to purchase from the Company, in one or more private placements, a number of shares of Common Stock in a pro rata proportion to the number of shares sold by the Company in any Public Offering, based on the Investor Ownership Percentage (as defined below) and at the same price paid by purchasers in such Public Offering, up to a maximum aggregate amount of $915 million (the “</w:t>
      </w:r>
      <w:r>
        <w:rPr>
          <w:rFonts w:ascii="Arial" w:cs="Arial" w:eastAsia="Arial" w:hAnsi="Arial"/>
          <w:sz w:val="16"/>
          <w:szCs w:val="16"/>
          <w:b w:val="1"/>
          <w:bCs w:val="1"/>
          <w:color w:val="auto"/>
        </w:rPr>
        <w:t>Maximum Investment Amount</w:t>
      </w:r>
      <w:r>
        <w:rPr>
          <w:rFonts w:ascii="Arial" w:cs="Arial" w:eastAsia="Arial" w:hAnsi="Arial"/>
          <w:sz w:val="16"/>
          <w:szCs w:val="16"/>
          <w:color w:val="auto"/>
        </w:rPr>
        <w:t>”), subject to the terms and conditions set forth herein.</w:t>
      </w:r>
    </w:p>
    <w:p>
      <w:pPr>
        <w:spacing w:after="0" w:line="15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mutual representations, warranties, covenants and agreements contained in this Agreement, the receipt and sufficiency of which are hereby acknowledged, the parties to this Agreement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 As used in this Agreement (including the recitals hereto), the following terms shall have the following meanings:</w:t>
      </w:r>
    </w:p>
    <w:p>
      <w:pPr>
        <w:spacing w:after="0" w:line="22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that, directly or indirectly, through one or more intermediaries, controls, is controlled by, or is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this Agreement only, the Company shall not be deemed an Affiliate of the Investor or any of the Investor’s Affiliates. The term “</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Arial" w:cs="Arial" w:eastAsia="Arial" w:hAnsi="Arial"/>
          <w:sz w:val="18"/>
          <w:szCs w:val="18"/>
          <w:b w:val="1"/>
          <w:bCs w:val="1"/>
          <w:color w:val="auto"/>
        </w:rPr>
        <w:t>controlled</w:t>
      </w:r>
      <w:r>
        <w:rPr>
          <w:rFonts w:ascii="Arial" w:cs="Arial" w:eastAsia="Arial" w:hAnsi="Arial"/>
          <w:sz w:val="18"/>
          <w:szCs w:val="18"/>
          <w:color w:val="auto"/>
        </w:rPr>
        <w:t>” and “</w:t>
      </w:r>
      <w:r>
        <w:rPr>
          <w:rFonts w:ascii="Arial" w:cs="Arial" w:eastAsia="Arial" w:hAnsi="Arial"/>
          <w:sz w:val="18"/>
          <w:szCs w:val="18"/>
          <w:b w:val="1"/>
          <w:bCs w:val="1"/>
          <w:color w:val="auto"/>
        </w:rPr>
        <w:t>controlling</w:t>
      </w:r>
      <w:r>
        <w:rPr>
          <w:rFonts w:ascii="Arial" w:cs="Arial" w:eastAsia="Arial" w:hAnsi="Arial"/>
          <w:sz w:val="18"/>
          <w:szCs w:val="18"/>
          <w:color w:val="auto"/>
        </w:rPr>
        <w:t>”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Purchase Price</w:t>
      </w:r>
      <w:r>
        <w:rPr>
          <w:rFonts w:ascii="Arial" w:cs="Arial" w:eastAsia="Arial" w:hAnsi="Arial"/>
          <w:sz w:val="18"/>
          <w:szCs w:val="18"/>
          <w:color w:val="auto"/>
        </w:rPr>
        <w:t>” means, with respect to a Closing (as defined below), the aggregate Purchase Price for the Placement Shares to be delivered at such Closing.</w:t>
      </w:r>
    </w:p>
    <w:p>
      <w:pPr>
        <w:spacing w:after="0" w:line="162"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ATM Placement Shares</w:t>
      </w:r>
      <w:r>
        <w:rPr>
          <w:rFonts w:ascii="Arial" w:cs="Arial" w:eastAsia="Arial" w:hAnsi="Arial"/>
          <w:sz w:val="16"/>
          <w:szCs w:val="16"/>
          <w:color w:val="auto"/>
        </w:rPr>
        <w:t>” means, with respect to a Closing for a particular Quarter related to the ATM Offering, a number of shares of Common Stock equal to the Quarterly ATM Shares (as defined below) multiplied by a ratio, the numerator of which is the Investor Ownership Percentage, and the denominator of which is a percentage equal to 100% minus the Investor Ownership Percentage, rounded down to the nearest whole share.</w:t>
      </w:r>
    </w:p>
    <w:p>
      <w:pPr>
        <w:spacing w:after="0" w:line="142"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 Purchase Price</w:t>
      </w:r>
      <w:r>
        <w:rPr>
          <w:rFonts w:ascii="Arial" w:cs="Arial" w:eastAsia="Arial" w:hAnsi="Arial"/>
          <w:sz w:val="18"/>
          <w:szCs w:val="18"/>
          <w:color w:val="auto"/>
        </w:rPr>
        <w:t>” means, with respect to a Closing for a particular Quarter related to the ATM Offering, a dollar amount per ATM Placement Share equal to the ATM Quarterly VWAP with respect to such Quarter.</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 Quarterly VWAP</w:t>
      </w:r>
      <w:r>
        <w:rPr>
          <w:rFonts w:ascii="Arial" w:cs="Arial" w:eastAsia="Arial" w:hAnsi="Arial"/>
          <w:sz w:val="18"/>
          <w:szCs w:val="18"/>
          <w:color w:val="auto"/>
        </w:rPr>
        <w:t>” for a particular Quarter means the volume-weighted average sale price of the Common Stock sold in the ATM Offering during such Quarter.</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other day on which the SEC or banks in the City of New York are authorized or required by Law to be closed.</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Organizational Documents</w:t>
      </w:r>
      <w:r>
        <w:rPr>
          <w:rFonts w:ascii="Arial" w:cs="Arial" w:eastAsia="Arial" w:hAnsi="Arial"/>
          <w:sz w:val="18"/>
          <w:szCs w:val="18"/>
          <w:color w:val="auto"/>
        </w:rPr>
        <w:t>” means the Company’s Second Amended and Restated Certificate of Incorporation and Amended and Restated Bylaws, each as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spacing w:after="0" w:line="18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Material Adverse Effect</w:t>
      </w:r>
      <w:r>
        <w:rPr>
          <w:rFonts w:ascii="Arial" w:cs="Arial" w:eastAsia="Arial" w:hAnsi="Arial"/>
          <w:sz w:val="18"/>
          <w:szCs w:val="18"/>
          <w:color w:val="auto"/>
        </w:rPr>
        <w:t>” means any effect, change, event or occurrence that would prevent or materially delay, interfere with, hinder or impair the compliance by the Investor with its obligations under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Ownership Percentage</w:t>
      </w:r>
      <w:r>
        <w:rPr>
          <w:rFonts w:ascii="Arial" w:cs="Arial" w:eastAsia="Arial" w:hAnsi="Arial"/>
          <w:sz w:val="18"/>
          <w:szCs w:val="18"/>
          <w:color w:val="auto"/>
        </w:rPr>
        <w:t>” means 60.42640%.</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Rights Agreement</w:t>
      </w:r>
      <w:r>
        <w:rPr>
          <w:rFonts w:ascii="Arial" w:cs="Arial" w:eastAsia="Arial" w:hAnsi="Arial"/>
          <w:sz w:val="18"/>
          <w:szCs w:val="18"/>
          <w:color w:val="auto"/>
        </w:rPr>
        <w:t>” means the Investor Rights Agreement, dated as of February 22, 2021, by and among the Company, the Investor and certain other parties thereto, as amended and/or restated from time to time.</w:t>
      </w:r>
    </w:p>
    <w:p>
      <w:pPr>
        <w:spacing w:after="0" w:line="162" w:lineRule="exact"/>
        <w:rPr>
          <w:sz w:val="20"/>
          <w:szCs w:val="20"/>
          <w:color w:val="auto"/>
        </w:rPr>
      </w:pPr>
    </w:p>
    <w:p>
      <w:pPr>
        <w:jc w:val="both"/>
        <w:ind w:right="6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IRA Amendment</w:t>
      </w:r>
      <w:r>
        <w:rPr>
          <w:rFonts w:ascii="Arial" w:cs="Arial" w:eastAsia="Arial" w:hAnsi="Arial"/>
          <w:sz w:val="18"/>
          <w:szCs w:val="18"/>
          <w:color w:val="auto"/>
        </w:rPr>
        <w:t>” means Amendment No. 1 to the Investor Rights Agreement, dated as of the date hereof, to provide the Investor with registration rights pursuant to the Investor Rights Agreement with respect to the Placement Shares and with certain other rights, such amendment substantially in the form attached hereto as “Annex 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w:t>
      </w:r>
      <w:r>
        <w:rPr>
          <w:rFonts w:ascii="Arial" w:cs="Arial" w:eastAsia="Arial" w:hAnsi="Arial"/>
          <w:sz w:val="18"/>
          <w:szCs w:val="18"/>
          <w:color w:val="auto"/>
        </w:rPr>
        <w:t>” means any order, judgment, injunction, ruling, writ or decree of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local, state or federal laws, common law, statutes, ordinances, codes, rules or regulations.</w:t>
      </w:r>
    </w:p>
    <w:p>
      <w:pPr>
        <w:spacing w:after="0" w:line="225"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Nasdaq</w:t>
      </w:r>
      <w:r>
        <w:rPr>
          <w:rFonts w:ascii="Arial" w:cs="Arial" w:eastAsia="Arial" w:hAnsi="Arial"/>
          <w:sz w:val="17"/>
          <w:szCs w:val="17"/>
          <w:color w:val="auto"/>
        </w:rPr>
        <w:t>” means the Nasdaq Global Select Market or any other principal trading exchange or market for Common Stock from time to time.</w:t>
      </w:r>
    </w:p>
    <w:p>
      <w:pPr>
        <w:spacing w:after="0" w:line="23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Placement Shares</w:t>
      </w:r>
      <w:r>
        <w:rPr>
          <w:rFonts w:ascii="Arial" w:cs="Arial" w:eastAsia="Arial" w:hAnsi="Arial"/>
          <w:sz w:val="18"/>
          <w:szCs w:val="18"/>
          <w:color w:val="auto"/>
        </w:rPr>
        <w:t>” means, with respect to a Closing related an Other Public Offering, a number of shares of Common Stock equal to the number of shares of Common Stock actually sold in such Other Public Offering, multiplied by a ratio, the numerator of which is the Investor Ownership Percentage, and the denominator of which is a percentage equal to 100% minus the Investor Ownership Percentage, rounded down to the nearest whole share.</w:t>
      </w:r>
    </w:p>
    <w:p>
      <w:pPr>
        <w:spacing w:after="0" w:line="18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Purchase Price</w:t>
      </w:r>
      <w:r>
        <w:rPr>
          <w:rFonts w:ascii="Arial" w:cs="Arial" w:eastAsia="Arial" w:hAnsi="Arial"/>
          <w:sz w:val="18"/>
          <w:szCs w:val="18"/>
          <w:color w:val="auto"/>
        </w:rPr>
        <w:t>” means, with respect to a Closing related to an Other Public Offering, the price per share paid by the purchasers in such Other Public Offering.</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joint venture, association, trust, unincorporated organization or any other entity, including a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Placement Shares</w:t>
      </w:r>
      <w:r>
        <w:rPr>
          <w:rFonts w:ascii="Arial" w:cs="Arial" w:eastAsia="Arial" w:hAnsi="Arial"/>
          <w:sz w:val="18"/>
          <w:szCs w:val="18"/>
          <w:color w:val="auto"/>
        </w:rPr>
        <w:t>” means, as applicable, the ATM Placement Shares or Other Placement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as applicable, the ATM Purchase Price or Other Purchase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a fiscal quarter of the Company.</w:t>
      </w:r>
    </w:p>
    <w:p>
      <w:pPr>
        <w:spacing w:after="0" w:line="225"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ATM Shares</w:t>
      </w:r>
      <w:r>
        <w:rPr>
          <w:rFonts w:ascii="Arial" w:cs="Arial" w:eastAsia="Arial" w:hAnsi="Arial"/>
          <w:sz w:val="18"/>
          <w:szCs w:val="18"/>
          <w:color w:val="auto"/>
        </w:rPr>
        <w:t xml:space="preserve">” for a particular Quarter means the number of shares of Common Stock sold by the Company in the ATM Offering during a Quarter; </w:t>
      </w:r>
      <w:r>
        <w:rPr>
          <w:rFonts w:ascii="Arial" w:cs="Arial" w:eastAsia="Arial" w:hAnsi="Arial"/>
          <w:sz w:val="18"/>
          <w:szCs w:val="18"/>
          <w:i w:val="1"/>
          <w:iCs w:val="1"/>
          <w:color w:val="auto"/>
        </w:rPr>
        <w:t>provided</w:t>
      </w:r>
      <w:r>
        <w:rPr>
          <w:rFonts w:ascii="Arial" w:cs="Arial" w:eastAsia="Arial" w:hAnsi="Arial"/>
          <w:sz w:val="18"/>
          <w:szCs w:val="18"/>
          <w:color w:val="auto"/>
        </w:rPr>
        <w:t>, that if the Company sells shares of Common Stock in the ATM Offering during the last two weeks of a Quarter, such shares shall be deemed to have been sold in the succeeding Quarter for all purposes under this Agreement, including for the purposes of calculating the ATM Quarterly VWAP.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5" w:name="page46"/>
    <w:bookmarkEnd w:id="45"/>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Company’s Registration Statement on Form S-3 (File No. 333-267147), including any amendment or supplement thereto and any information deemed to be included or incorporated by reference therein.</w:t>
      </w:r>
    </w:p>
    <w:p>
      <w:pPr>
        <w:spacing w:after="0" w:line="162" w:lineRule="exact"/>
        <w:rPr>
          <w:sz w:val="20"/>
          <w:szCs w:val="20"/>
          <w:color w:val="auto"/>
        </w:rPr>
      </w:pPr>
    </w:p>
    <w:p>
      <w:pPr>
        <w:ind w:right="34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means the period beginning on the date hereof and ending on March 31, 2023, unless extended or terminated earlier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7.01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 and</w:t>
      </w:r>
      <w:r>
        <w:rPr>
          <w:rFonts w:ascii="Arial" w:cs="Arial" w:eastAsia="Arial" w:hAnsi="Arial"/>
          <w:sz w:val="18"/>
          <w:szCs w:val="18"/>
          <w:color w:val="auto"/>
        </w:rPr>
        <w:t xml:space="preserve"> S</w:t>
      </w:r>
      <w:r>
        <w:rPr>
          <w:rFonts w:ascii="Arial" w:cs="Arial" w:eastAsia="Arial" w:hAnsi="Arial"/>
          <w:sz w:val="12"/>
          <w:szCs w:val="12"/>
          <w:color w:val="auto"/>
        </w:rPr>
        <w:t>ale</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Purchase and Sale</w:t>
      </w:r>
      <w:r>
        <w:rPr>
          <w:rFonts w:ascii="Arial" w:cs="Arial" w:eastAsia="Arial" w:hAnsi="Arial"/>
          <w:sz w:val="18"/>
          <w:szCs w:val="18"/>
          <w:color w:val="auto"/>
        </w:rPr>
        <w:t xml:space="preserve">. (a) On the terms of this Agreement and subject to the satisfaction (or, to the extent permitted by applicable Law, waiver by the party entitled to the benefit thereof) of the conditions set forth in </w:t>
      </w:r>
      <w:r>
        <w:rPr>
          <w:rFonts w:ascii="Arial" w:cs="Arial" w:eastAsia="Arial" w:hAnsi="Arial"/>
          <w:sz w:val="18"/>
          <w:szCs w:val="18"/>
          <w:b w:val="1"/>
          <w:bCs w:val="1"/>
          <w:color w:val="auto"/>
        </w:rPr>
        <w:t>‎</w:t>
      </w:r>
      <w:r>
        <w:rPr>
          <w:rFonts w:ascii="Arial" w:cs="Arial" w:eastAsia="Arial" w:hAnsi="Arial"/>
          <w:sz w:val="18"/>
          <w:szCs w:val="18"/>
          <w:color w:val="auto"/>
        </w:rPr>
        <w:t>Article 6, at each ATM Closing, the Investor shall purchase and acquire from the Company, and the Company shall issue, sell and deliver to the Investor, the related ATM Placement Shares at a purchase price per share equal to the ATM Purchase Price applicable to such shares and such ATM Closing.</w:t>
      </w:r>
    </w:p>
    <w:p>
      <w:pPr>
        <w:spacing w:after="0" w:line="187" w:lineRule="exact"/>
        <w:rPr>
          <w:sz w:val="20"/>
          <w:szCs w:val="20"/>
          <w:color w:val="auto"/>
        </w:rPr>
      </w:pPr>
    </w:p>
    <w:p>
      <w:pPr>
        <w:ind w:left="1400" w:hanging="744"/>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the terms of this Agreement and subject to the satisfaction (or, to the extent permitted by applicable Law, waiver by the party</w:t>
      </w:r>
    </w:p>
    <w:p>
      <w:pPr>
        <w:spacing w:after="0" w:line="34" w:lineRule="exact"/>
        <w:rPr>
          <w:rFonts w:ascii="Arial" w:cs="Arial" w:eastAsia="Arial" w:hAnsi="Arial"/>
          <w:sz w:val="17"/>
          <w:szCs w:val="17"/>
          <w:color w:val="auto"/>
        </w:rPr>
      </w:pPr>
    </w:p>
    <w:p>
      <w:pPr>
        <w:spacing w:after="0" w:line="271" w:lineRule="auto"/>
        <w:rPr>
          <w:rFonts w:ascii="Arial" w:cs="Arial" w:eastAsia="Arial" w:hAnsi="Arial"/>
          <w:sz w:val="17"/>
          <w:szCs w:val="17"/>
          <w:color w:val="auto"/>
        </w:rPr>
      </w:pPr>
      <w:r>
        <w:rPr>
          <w:rFonts w:ascii="Arial" w:cs="Arial" w:eastAsia="Arial" w:hAnsi="Arial"/>
          <w:sz w:val="17"/>
          <w:szCs w:val="17"/>
          <w:color w:val="auto"/>
        </w:rPr>
        <w:t>entitled to the benefit thereof) of the conditions set forth in Article</w:t>
      </w:r>
      <w:r>
        <w:rPr>
          <w:rFonts w:ascii="Arial" w:cs="Arial" w:eastAsia="Arial" w:hAnsi="Arial"/>
          <w:sz w:val="17"/>
          <w:szCs w:val="17"/>
          <w:b w:val="1"/>
          <w:bCs w:val="1"/>
          <w:color w:val="auto"/>
        </w:rPr>
        <w:t>‎</w:t>
      </w:r>
      <w:r>
        <w:rPr>
          <w:rFonts w:ascii="Arial" w:cs="Arial" w:eastAsia="Arial" w:hAnsi="Arial"/>
          <w:sz w:val="17"/>
          <w:szCs w:val="17"/>
          <w:color w:val="auto"/>
        </w:rPr>
        <w:t xml:space="preserve"> 6, if the Company sells Common Stock in an Other Public Offering during the Term, and the sale price of the Common Stock in such Other Public Offering is less than the volume-weighted average sale price of the Common Stock sold in the ATM Offering beginning on the date of this Agreement and ending on the first date that Common Stock in such Other Public Offering is offered to investors, then the Investor shall purchase and acquire from the Company, and the Company shall issue, sell and deliver to the Investor, the related Other Placement Shares at a purchase price per share equal to the price per share paid by the investors in such Other Public Offering.</w:t>
      </w:r>
    </w:p>
    <w:p>
      <w:pPr>
        <w:spacing w:after="0" w:line="178" w:lineRule="exact"/>
        <w:rPr>
          <w:rFonts w:ascii="Arial" w:cs="Arial" w:eastAsia="Arial" w:hAnsi="Arial"/>
          <w:sz w:val="17"/>
          <w:szCs w:val="17"/>
          <w:color w:val="auto"/>
        </w:rPr>
      </w:pPr>
    </w:p>
    <w:p>
      <w:pPr>
        <w:ind w:right="400" w:firstLine="656"/>
        <w:spacing w:after="0" w:line="277" w:lineRule="auto"/>
        <w:tabs>
          <w:tab w:leader="none" w:pos="13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Purchase Price paid by Investor for the Placement Shares pursuant to this Agreement shall not exceed the Maximum Investment Amount.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400" w:hanging="74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purchase and sale of the Placement Shares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2.01 is referred to as the “</w:t>
      </w:r>
      <w:r>
        <w:rPr>
          <w:rFonts w:ascii="Arial" w:cs="Arial" w:eastAsia="Arial" w:hAnsi="Arial"/>
          <w:sz w:val="18"/>
          <w:szCs w:val="18"/>
          <w:b w:val="1"/>
          <w:bCs w:val="1"/>
          <w:color w:val="auto"/>
        </w:rPr>
        <w:t>Placement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Closing</w:t>
      </w:r>
      <w:r>
        <w:rPr>
          <w:rFonts w:ascii="Arial" w:cs="Arial" w:eastAsia="Arial" w:hAnsi="Arial"/>
          <w:sz w:val="18"/>
          <w:szCs w:val="18"/>
          <w:color w:val="auto"/>
        </w:rPr>
        <w:t>. (a) Subject to the terms of this Agreement, the closing of each Placement of ATM Placement Shares (each, an “</w:t>
      </w:r>
      <w:r>
        <w:rPr>
          <w:rFonts w:ascii="Arial" w:cs="Arial" w:eastAsia="Arial" w:hAnsi="Arial"/>
          <w:sz w:val="18"/>
          <w:szCs w:val="18"/>
          <w:b w:val="1"/>
          <w:bCs w:val="1"/>
          <w:color w:val="auto"/>
        </w:rPr>
        <w:t>ATM</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occur electronically on or about 10:00 a.m., New York City time, on the last trading day of each Quarter or at such other place, time or date</w:t>
      </w:r>
      <w:r>
        <w:rPr>
          <w:rFonts w:ascii="Arial" w:cs="Arial" w:eastAsia="Arial" w:hAnsi="Arial"/>
          <w:sz w:val="18"/>
          <w:szCs w:val="18"/>
          <w:b w:val="1"/>
          <w:bCs w:val="1"/>
          <w:color w:val="auto"/>
        </w:rPr>
        <w:t xml:space="preserve"> </w:t>
      </w:r>
      <w:r>
        <w:rPr>
          <w:rFonts w:ascii="Arial" w:cs="Arial" w:eastAsia="Arial" w:hAnsi="Arial"/>
          <w:sz w:val="18"/>
          <w:szCs w:val="18"/>
          <w:color w:val="auto"/>
        </w:rPr>
        <w:t>as shall be agreed between the Company and the Investor.</w:t>
      </w:r>
    </w:p>
    <w:p>
      <w:pPr>
        <w:spacing w:after="0" w:line="176" w:lineRule="exact"/>
        <w:rPr>
          <w:sz w:val="20"/>
          <w:szCs w:val="20"/>
          <w:color w:val="auto"/>
        </w:rPr>
      </w:pPr>
    </w:p>
    <w:p>
      <w:pPr>
        <w:ind w:right="140" w:firstLine="656"/>
        <w:spacing w:after="0" w:line="261" w:lineRule="auto"/>
        <w:tabs>
          <w:tab w:leader="none" w:pos="13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terms of this Agreement, the closing of each Placement of Other Placement Shares (an “</w:t>
      </w:r>
      <w:r>
        <w:rPr>
          <w:rFonts w:ascii="Arial" w:cs="Arial" w:eastAsia="Arial" w:hAnsi="Arial"/>
          <w:sz w:val="18"/>
          <w:szCs w:val="18"/>
          <w:b w:val="1"/>
          <w:bCs w:val="1"/>
          <w:color w:val="auto"/>
        </w:rPr>
        <w:t>Other Closing</w:t>
      </w:r>
      <w:r>
        <w:rPr>
          <w:rFonts w:ascii="Arial" w:cs="Arial" w:eastAsia="Arial" w:hAnsi="Arial"/>
          <w:sz w:val="18"/>
          <w:szCs w:val="18"/>
          <w:color w:val="auto"/>
        </w:rPr>
        <w:t>,” and together with the ATM Closings, the “</w:t>
      </w:r>
      <w:r>
        <w:rPr>
          <w:rFonts w:ascii="Arial" w:cs="Arial" w:eastAsia="Arial" w:hAnsi="Arial"/>
          <w:sz w:val="18"/>
          <w:szCs w:val="18"/>
          <w:b w:val="1"/>
          <w:bCs w:val="1"/>
          <w:color w:val="auto"/>
        </w:rPr>
        <w:t>Closings</w:t>
      </w:r>
      <w:r>
        <w:rPr>
          <w:rFonts w:ascii="Arial" w:cs="Arial" w:eastAsia="Arial" w:hAnsi="Arial"/>
          <w:sz w:val="18"/>
          <w:szCs w:val="18"/>
          <w:color w:val="auto"/>
        </w:rPr>
        <w:t>”) shall occur electronically on or about 10:00 a.m., New York City time, six (6) Business Days after the pricing of the related Other Public Offering or at such other place, time or date as shall be agreed between the Company and the Investor (such date, together with each such date pursuant to Section 2.01(a), a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each Closing:</w:t>
      </w:r>
    </w:p>
    <w:p>
      <w:pPr>
        <w:spacing w:after="0" w:line="225" w:lineRule="exact"/>
        <w:rPr>
          <w:rFonts w:ascii="Arial" w:cs="Arial" w:eastAsia="Arial" w:hAnsi="Arial"/>
          <w:sz w:val="18"/>
          <w:szCs w:val="18"/>
          <w:color w:val="auto"/>
        </w:rPr>
      </w:pPr>
    </w:p>
    <w:p>
      <w:pPr>
        <w:ind w:left="660" w:right="140" w:firstLine="968"/>
        <w:spacing w:after="0" w:line="277" w:lineRule="auto"/>
        <w:tabs>
          <w:tab w:leader="none" w:pos="2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Investor shall pay the applicable Aggregate Purchase Price to the Company by wire transfer in immediately available U.S. federal funds to an account designated by the Company in writing; and</w:t>
      </w:r>
    </w:p>
    <w:p>
      <w:pPr>
        <w:spacing w:after="0" w:line="170" w:lineRule="exact"/>
        <w:rPr>
          <w:rFonts w:ascii="Arial" w:cs="Arial" w:eastAsia="Arial" w:hAnsi="Arial"/>
          <w:sz w:val="18"/>
          <w:szCs w:val="18"/>
          <w:color w:val="auto"/>
        </w:rPr>
      </w:pPr>
    </w:p>
    <w:p>
      <w:pPr>
        <w:ind w:left="660" w:right="80" w:firstLine="968"/>
        <w:spacing w:after="0" w:line="277" w:lineRule="auto"/>
        <w:tabs>
          <w:tab w:leader="none" w:pos="23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deliver to the Investor the applicable Placement Shares, in book entry form, free and clear of all liens, except restrictions imposed by applicable securities Laws.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represents and warrants to the Investor, as of the date hereof and as of each Closing Date (except to the extent made only as of a specified date, in which case such representation and warranty is made as of such date):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reasonably be expected to have a Material Adverse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7" w:name="page48"/>
    <w:bookmarkEnd w:id="47"/>
    <w:p>
      <w:pPr>
        <w:ind w:right="180" w:firstLine="656"/>
        <w:spacing w:after="0" w:line="293" w:lineRule="auto"/>
        <w:tabs>
          <w:tab w:leader="none" w:pos="1397"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w:t>
      </w:r>
      <w:r>
        <w:rPr>
          <w:rFonts w:ascii="Arial" w:cs="Arial" w:eastAsia="Arial" w:hAnsi="Arial"/>
          <w:sz w:val="16"/>
          <w:szCs w:val="16"/>
          <w:color w:val="auto"/>
        </w:rPr>
        <w:t>Each of the Company’s subsidiaries is duly organized and is validly existing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of its incorporation or organization (to the extent such concept or functional equivalent is applicable in such jurisdiction), has corporate or similar power and authority to own, lease and operate its properties and to conduct its business as described in the Company’s most recent Annual Report on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1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Description of Capital Stock; Valid Issuance</w:t>
      </w:r>
      <w:r>
        <w:rPr>
          <w:rFonts w:ascii="Arial" w:cs="Arial" w:eastAsia="Arial" w:hAnsi="Arial"/>
          <w:sz w:val="18"/>
          <w:szCs w:val="18"/>
          <w:color w:val="auto"/>
        </w:rPr>
        <w:t>. (a) The authorized capital stock of the Company conforms as to legal matters to the description thereof contained in the Registration Statement.</w:t>
      </w:r>
    </w:p>
    <w:p>
      <w:pPr>
        <w:spacing w:after="0" w:line="170" w:lineRule="exact"/>
        <w:rPr>
          <w:sz w:val="20"/>
          <w:szCs w:val="20"/>
          <w:color w:val="auto"/>
        </w:rPr>
      </w:pPr>
    </w:p>
    <w:p>
      <w:pPr>
        <w:ind w:firstLine="656"/>
        <w:spacing w:after="0" w:line="342" w:lineRule="auto"/>
        <w:tabs>
          <w:tab w:leader="none" w:pos="13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Placement Shares, when issued and delivered against payment therefor in accordance with the terms of this Agreement, will be duly authorized, validly issued, fully paid and non-assessable, and will conform to the description thereof in the Registration Statement and the Prospectus.</w:t>
      </w:r>
    </w:p>
    <w:p>
      <w:pPr>
        <w:spacing w:after="0" w:line="12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Authority; Noncontravention</w:t>
      </w:r>
      <w:r>
        <w:rPr>
          <w:rFonts w:ascii="Arial" w:cs="Arial" w:eastAsia="Arial" w:hAnsi="Arial"/>
          <w:sz w:val="17"/>
          <w:szCs w:val="17"/>
          <w:color w:val="auto"/>
        </w:rPr>
        <w:t>. (a) The execution, delivery and performance by the Company of this Agreement has been duly authorized by the Company.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7"/>
          <w:szCs w:val="17"/>
          <w:b w:val="1"/>
          <w:bCs w:val="1"/>
          <w:color w:val="auto"/>
        </w:rPr>
        <w:t>Bankruptcy and Equity Exception</w:t>
      </w:r>
      <w:r>
        <w:rPr>
          <w:rFonts w:ascii="Arial" w:cs="Arial" w:eastAsia="Arial" w:hAnsi="Arial"/>
          <w:sz w:val="17"/>
          <w:szCs w:val="17"/>
          <w:color w:val="auto"/>
        </w:rPr>
        <w:t>”).</w:t>
      </w:r>
    </w:p>
    <w:p>
      <w:pPr>
        <w:spacing w:after="0" w:line="178" w:lineRule="exact"/>
        <w:rPr>
          <w:sz w:val="20"/>
          <w:szCs w:val="20"/>
          <w:color w:val="auto"/>
        </w:rPr>
      </w:pPr>
    </w:p>
    <w:p>
      <w:pPr>
        <w:ind w:right="20" w:firstLine="656"/>
        <w:spacing w:after="0" w:line="272" w:lineRule="auto"/>
        <w:tabs>
          <w:tab w:leader="none" w:pos="1397"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by the Company, nor the performance or compliance by the Company with any of the terms or provisions hereof, will (i) conflict with or violate any provision of the Company Organizational Documents, or (ii) (x) violate any Law or Judgment (as defined herein)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Arial" w:cs="Arial" w:eastAsia="Arial" w:hAnsi="Arial"/>
          <w:sz w:val="17"/>
          <w:szCs w:val="17"/>
          <w:b w:val="1"/>
          <w:bCs w:val="1"/>
          <w:color w:val="auto"/>
        </w:rPr>
        <w:t>Contract</w:t>
      </w:r>
      <w:r>
        <w:rPr>
          <w:rFonts w:ascii="Arial" w:cs="Arial" w:eastAsia="Arial" w:hAnsi="Arial"/>
          <w:sz w:val="17"/>
          <w:szCs w:val="17"/>
          <w:color w:val="auto"/>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spacing w:after="0" w:line="17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by the Company and the performance by the Company of its obligations hereunder, other than such other consents, approvals, filings, licenses, permits or authorizations, declarations or registrations that, if not obtained, made or given, would not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200" w:firstLine="648"/>
        <w:spacing w:after="0" w:line="26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Sale of Securities</w:t>
      </w:r>
      <w:r>
        <w:rPr>
          <w:rFonts w:ascii="Arial" w:cs="Arial" w:eastAsia="Arial" w:hAnsi="Arial"/>
          <w:sz w:val="18"/>
          <w:szCs w:val="18"/>
          <w:color w:val="auto"/>
        </w:rPr>
        <w:t>. Assuming the accuracy of the representations and warranties of the Investor set forth in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4.05, the sale and issuance of the Placement Shares pursuant to this Agreement is exempt from the registration and prospectus delivery requirements of the Securities Act.</w:t>
      </w:r>
    </w:p>
    <w:p>
      <w:pPr>
        <w:spacing w:after="0" w:line="180"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Investment Company</w:t>
      </w:r>
      <w:r>
        <w:rPr>
          <w:rFonts w:ascii="Arial" w:cs="Arial" w:eastAsia="Arial" w:hAnsi="Arial"/>
          <w:sz w:val="17"/>
          <w:szCs w:val="17"/>
          <w:color w:val="auto"/>
        </w:rPr>
        <w:t>. The Company is not, and will not be, after giving effect to the offer and sale of the Placement Shares, required to register as an “investment company” within the meaning of the Investment Company Act of 1940, as amended.</w:t>
      </w:r>
    </w:p>
    <w:p>
      <w:pPr>
        <w:spacing w:after="0" w:line="14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Price Stabilization of Common Stock</w:t>
      </w:r>
      <w:r>
        <w:rPr>
          <w:rFonts w:ascii="Arial" w:cs="Arial" w:eastAsia="Arial" w:hAnsi="Arial"/>
          <w:sz w:val="18"/>
          <w:szCs w:val="18"/>
          <w:color w:val="auto"/>
        </w:rPr>
        <w:t>. The Company has not taken, nor will it take, directly or indirectly, any action designed to stabilize or manipulate the price of the Common Stock to facilitate the sale or resale of the Placement Shares.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No Other Company Representations or Warranties</w:t>
      </w:r>
      <w:r>
        <w:rPr>
          <w:rFonts w:ascii="Arial" w:cs="Arial" w:eastAsia="Arial" w:hAnsi="Arial"/>
          <w:sz w:val="18"/>
          <w:szCs w:val="18"/>
          <w:color w:val="auto"/>
        </w:rPr>
        <w:t>. Except for the representations and warranties made by the Company in this Article 3,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I</w:t>
      </w:r>
      <w:r>
        <w:rPr>
          <w:rFonts w:ascii="Arial" w:cs="Arial" w:eastAsia="Arial" w:hAnsi="Arial"/>
          <w:sz w:val="12"/>
          <w:szCs w:val="12"/>
          <w:color w:val="auto"/>
        </w:rPr>
        <w:t>nvestor</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Investor represents and warrants to the Company, as of the date hereof and as of each Closing Date (except to the extent made only as of a specified date, in which case such representation and warranty is made as of such date):</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Organization; Standing</w:t>
      </w:r>
      <w:r>
        <w:rPr>
          <w:rFonts w:ascii="Arial" w:cs="Arial" w:eastAsia="Arial" w:hAnsi="Arial"/>
          <w:sz w:val="17"/>
          <w:szCs w:val="17"/>
          <w:color w:val="auto"/>
        </w:rPr>
        <w:t>. The Investor is a single shareholder limited liability company organized under the laws of the Kingdom of Saudi Arabia and has all requisite power and authority necessary to enter into and perform its obligations under this Agreement.</w:t>
      </w:r>
    </w:p>
    <w:p>
      <w:pPr>
        <w:spacing w:after="0" w:line="14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Authority; Noncontravention</w:t>
      </w:r>
      <w:r>
        <w:rPr>
          <w:rFonts w:ascii="Arial" w:cs="Arial" w:eastAsia="Arial" w:hAnsi="Arial"/>
          <w:sz w:val="16"/>
          <w:szCs w:val="16"/>
          <w:color w:val="auto"/>
        </w:rPr>
        <w:t>. (a) The Investor has all necessary power and authority to execute and deliver this Agreement and to perform its obligations hereunder. The execution, delivery and performance by the Investor of this Agreement has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This Agreement has been duly executed and delivered by the Investor and, assuming due authorization, execution and delivery hereof by the Company, constitutes a legal, valid and binding obligation of the Investor, enforceable against the Investor in accordance with its terms, subject to the Bankruptcy and Equity Exception.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right="20" w:firstLine="656"/>
        <w:spacing w:after="0" w:line="254" w:lineRule="auto"/>
        <w:tabs>
          <w:tab w:leader="none" w:pos="13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by the Investor, nor the performance or compliance by the Investor with any of the terms or provisions hereof, will (i) conflict with or violate any provision of the certificate or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w:t>
      </w:r>
      <w:r>
        <w:rPr>
          <w:rFonts w:ascii="Arial" w:cs="Arial" w:eastAsia="Arial" w:hAnsi="Arial"/>
          <w:sz w:val="18"/>
          <w:szCs w:val="18"/>
          <w:b w:val="1"/>
          <w:bCs w:val="1"/>
          <w:color w:val="auto"/>
        </w:rPr>
        <w:t>‎</w:t>
      </w:r>
      <w:r>
        <w:rPr>
          <w:rFonts w:ascii="Arial" w:cs="Arial" w:eastAsia="Arial" w:hAnsi="Arial"/>
          <w:sz w:val="18"/>
          <w:szCs w:val="18"/>
          <w:color w:val="auto"/>
        </w:rPr>
        <w:t xml:space="preserve"> as would not, individually or in the aggregate, reasonably be expected to have an Investor Material Adverse Effect.</w:t>
      </w:r>
    </w:p>
    <w:p>
      <w:pPr>
        <w:spacing w:after="0" w:line="19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Governmental Approvals</w:t>
      </w:r>
      <w:r>
        <w:rPr>
          <w:rFonts w:ascii="Arial" w:cs="Arial" w:eastAsia="Arial" w:hAnsi="Arial"/>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delivery and performance of this Agreement by the Investor,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Brokers and Other Advisors</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this Agreement, based upon arrangements made by or on behalf of the Investor or any of its Affiliates.</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Private Placement Matters</w:t>
      </w:r>
      <w:r>
        <w:rPr>
          <w:rFonts w:ascii="Arial" w:cs="Arial" w:eastAsia="Arial" w:hAnsi="Arial"/>
          <w:sz w:val="16"/>
          <w:szCs w:val="16"/>
          <w:color w:val="auto"/>
        </w:rPr>
        <w:t>. The Investor acknowledges that the offer and sale of the Placement Shares have not been registered under the Securities Act or under any state or other applicable securities Laws. The Investor (a) acknowledges that it is acquiring the Placement Shares pursuant to an exemption from registration under the Securities Act solely for investment with no intention to distribute any of the foregoing to any Person,</w:t>
      </w:r>
    </w:p>
    <w:p>
      <w:pPr>
        <w:spacing w:after="0" w:line="2" w:lineRule="exact"/>
        <w:rPr>
          <w:sz w:val="20"/>
          <w:szCs w:val="20"/>
          <w:color w:val="auto"/>
        </w:rPr>
      </w:pPr>
    </w:p>
    <w:p>
      <w:pPr>
        <w:ind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not sell, transfer, or otherwise dispose of any of the Placement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Placement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Placement Shares,</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Placement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Placement Shares and to protect its own interest in connection with such investment. The Investor further acknowledges that each Placement Share will constitute a “control security” and a “restricted security” under U.S. securities laws and will contain a legend to that effect in substantially the following form: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right="1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No Other Company Representations or Warranties</w:t>
      </w:r>
      <w:r>
        <w:rPr>
          <w:rFonts w:ascii="Arial" w:cs="Arial" w:eastAsia="Arial" w:hAnsi="Arial"/>
          <w:sz w:val="17"/>
          <w:szCs w:val="17"/>
          <w:color w:val="auto"/>
        </w:rPr>
        <w:t>. Except for the representations and warranties expressly set forth in Article</w:t>
      </w:r>
      <w:r>
        <w:rPr>
          <w:rFonts w:ascii="Arial" w:cs="Arial" w:eastAsia="Arial" w:hAnsi="Arial"/>
          <w:sz w:val="17"/>
          <w:szCs w:val="17"/>
          <w:b w:val="1"/>
          <w:bCs w:val="1"/>
          <w:color w:val="auto"/>
        </w:rPr>
        <w:t>‎</w:t>
      </w:r>
      <w:r>
        <w:rPr>
          <w:rFonts w:ascii="Arial" w:cs="Arial" w:eastAsia="Arial" w:hAnsi="Arial"/>
          <w:sz w:val="17"/>
          <w:szCs w:val="17"/>
          <w:color w:val="auto"/>
        </w:rPr>
        <w:t xml:space="preserve"> 3 hereof,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76"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No Other Investor Representations or Warranties</w:t>
      </w:r>
      <w:r>
        <w:rPr>
          <w:rFonts w:ascii="Arial" w:cs="Arial" w:eastAsia="Arial" w:hAnsi="Arial"/>
          <w:sz w:val="16"/>
          <w:szCs w:val="16"/>
          <w:color w:val="auto"/>
        </w:rPr>
        <w:t>. Except for the representations and warranties expressly set forth in this Article 4, neither the Investor nor any other Person on its behalf has made or is making any other express or implied representation or warranty.</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Further Action; Commercially Reasonable Efforts; Filings</w:t>
      </w:r>
      <w:r>
        <w:rPr>
          <w:rFonts w:ascii="Arial" w:cs="Arial" w:eastAsia="Arial" w:hAnsi="Arial"/>
          <w:sz w:val="17"/>
          <w:szCs w:val="17"/>
          <w:color w:val="auto"/>
        </w:rPr>
        <w:t>. (a)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this Agreement in accordance with its terms and conditions,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an Action by, any Governmental Authorities, (ii) the delivery of required notices to, and the obtaining of required consents or waivers from, any third parties necessary, proper or advisable to consummate this Agreement, and (iii) the execution and delivery of any additional instruments necessary to consummate this Agreement and to fully carry out the purposes of this Agreement.</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Public Disclosure</w:t>
      </w:r>
      <w:r>
        <w:rPr>
          <w:rFonts w:ascii="Arial" w:cs="Arial" w:eastAsia="Arial" w:hAnsi="Arial"/>
          <w:sz w:val="17"/>
          <w:szCs w:val="17"/>
          <w:color w:val="auto"/>
        </w:rPr>
        <w:t xml:space="preserve">. The Investor and the Company shall, and shall cause their Affiliates to, consult with each other before issuing, and give each other the opportunity to review and comment upon, any press release or other public statements with respect to this Agreement,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by applicable Law, Judgment, court process or the rules and regulations of any national securities exchange or national securities quotation system. Notwithstanding the foregoing, this </w:t>
      </w:r>
      <w:r>
        <w:rPr>
          <w:rFonts w:ascii="Arial" w:cs="Arial" w:eastAsia="Arial" w:hAnsi="Arial"/>
          <w:sz w:val="17"/>
          <w:szCs w:val="17"/>
          <w:b w:val="1"/>
          <w:bCs w:val="1"/>
          <w:color w:val="auto"/>
        </w:rPr>
        <w:t>‎</w:t>
      </w:r>
      <w:r>
        <w:rPr>
          <w:rFonts w:ascii="Arial" w:cs="Arial" w:eastAsia="Arial" w:hAnsi="Arial"/>
          <w:sz w:val="17"/>
          <w:szCs w:val="17"/>
          <w:color w:val="auto"/>
        </w:rPr>
        <w:t>Section 5.02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spacing w:after="0" w:line="178"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Confidentiality</w:t>
      </w:r>
      <w:r>
        <w:rPr>
          <w:rFonts w:ascii="Arial" w:cs="Arial" w:eastAsia="Arial" w:hAnsi="Arial"/>
          <w:sz w:val="16"/>
          <w:szCs w:val="16"/>
          <w:color w:val="auto"/>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4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Tax Matters</w:t>
      </w:r>
      <w:r>
        <w:rPr>
          <w:rFonts w:ascii="Arial" w:cs="Arial" w:eastAsia="Arial" w:hAnsi="Arial"/>
          <w:sz w:val="18"/>
          <w:szCs w:val="18"/>
          <w:color w:val="auto"/>
        </w:rPr>
        <w:t>. The Company shall pay any and all documentary, stamp and similar issuance or transfer tax due on the issuance of the Placement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2" w:name="page53"/>
    <w:bookmarkEnd w:id="52"/>
    <w:p>
      <w:pPr>
        <w:ind w:right="40" w:firstLine="648"/>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i w:val="1"/>
          <w:iCs w:val="1"/>
          <w:color w:val="auto"/>
        </w:rPr>
        <w:t>Delivery of Information</w:t>
      </w:r>
      <w:r>
        <w:rPr>
          <w:rFonts w:ascii="Arial" w:cs="Arial" w:eastAsia="Arial" w:hAnsi="Arial"/>
          <w:sz w:val="17"/>
          <w:szCs w:val="17"/>
          <w:color w:val="auto"/>
        </w:rPr>
        <w:t>. To the extent the Company sells any Common Stock in the ATM Offering, the Company shall inform the Investor (i) weekly, of the number of Quarterly ATM Shares and the ATM Quarterly VWAP to date and (ii) at least six (6) Business Days before the applicable ATM Closing Date, of the number of Quarterly ATM Shares and ATM Quarterly VWAP for such Quarter. Investor acknowledges and agrees that the Company is entitled to rely on reports or other information provided to the Company by any placement agent, sales agent, underwriter or other statutory underwriter engaged by the Company in connection with the issuance and sales of the Quarterly ATM Shares.</w:t>
      </w:r>
    </w:p>
    <w:p>
      <w:pPr>
        <w:spacing w:after="0" w:line="17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Delivery of Placement Shares After a Closing</w:t>
      </w:r>
      <w:r>
        <w:rPr>
          <w:rFonts w:ascii="Arial" w:cs="Arial" w:eastAsia="Arial" w:hAnsi="Arial"/>
          <w:sz w:val="18"/>
          <w:szCs w:val="18"/>
          <w:color w:val="auto"/>
        </w:rPr>
        <w:t>. The Company shall deliver, or cause to be delivered, a book-entry statement evidencing the Placement Shares within five (5) Business Days after each applicable Closing Date.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Future ATM Offerings</w:t>
      </w:r>
      <w:r>
        <w:rPr>
          <w:rFonts w:ascii="Arial" w:cs="Arial" w:eastAsia="Arial" w:hAnsi="Arial"/>
          <w:sz w:val="17"/>
          <w:szCs w:val="17"/>
          <w:color w:val="auto"/>
        </w:rPr>
        <w:t>. Subject to the terms and conditions of this Section 5.07 and applicable securities laws and stock exchange listing requirements, if the Company proposes to (i) increase the maximum aggregate offering price for the ATM Offering (the “</w:t>
      </w:r>
      <w:r>
        <w:rPr>
          <w:rFonts w:ascii="Arial" w:cs="Arial" w:eastAsia="Arial" w:hAnsi="Arial"/>
          <w:sz w:val="17"/>
          <w:szCs w:val="17"/>
          <w:b w:val="1"/>
          <w:bCs w:val="1"/>
          <w:color w:val="auto"/>
        </w:rPr>
        <w:t>Incremental ATM</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or (ii) commence a public offering of Common Stock that is substantially similar to the ATM Offering (any offering in (i) or (ii), a “</w:t>
      </w:r>
      <w:r>
        <w:rPr>
          <w:rFonts w:ascii="Arial" w:cs="Arial" w:eastAsia="Arial" w:hAnsi="Arial"/>
          <w:sz w:val="17"/>
          <w:szCs w:val="17"/>
          <w:b w:val="1"/>
          <w:bCs w:val="1"/>
          <w:color w:val="auto"/>
        </w:rPr>
        <w:t>New ATM Offering</w:t>
      </w:r>
      <w:r>
        <w:rPr>
          <w:rFonts w:ascii="Arial" w:cs="Arial" w:eastAsia="Arial" w:hAnsi="Arial"/>
          <w:sz w:val="17"/>
          <w:szCs w:val="17"/>
          <w:color w:val="auto"/>
        </w:rPr>
        <w:t>”), in either case during the Term, the Investor shall have the right, but not the obligation, to enter into a subscription agreement in respect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New ATM Offering on terms and in a form substantially equivalent to this Agreement (which subscription agreement may, for the avoidance of doubt, be entered into as an amendment to this Agreement and is referred to as the “</w:t>
      </w:r>
      <w:r>
        <w:rPr>
          <w:rFonts w:ascii="Arial" w:cs="Arial" w:eastAsia="Arial" w:hAnsi="Arial"/>
          <w:sz w:val="17"/>
          <w:szCs w:val="17"/>
          <w:b w:val="1"/>
          <w:bCs w:val="1"/>
          <w:color w:val="auto"/>
        </w:rPr>
        <w:t>New Subscription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Investor may adopt limitations with respect to its participation in the New ATM Offering, either as to the maximum dollar amount of its commitment to purchase Common Stock in the New ATM Offering, or the end date of its obligation to participate in the New ATM Offering. At least five (5) Business Days prior to any New ATM Offering, the Company shall give notice by e-mail (the “</w:t>
      </w:r>
      <w:r>
        <w:rPr>
          <w:rFonts w:ascii="Arial" w:cs="Arial" w:eastAsia="Arial" w:hAnsi="Arial"/>
          <w:sz w:val="17"/>
          <w:szCs w:val="17"/>
          <w:b w:val="1"/>
          <w:bCs w:val="1"/>
          <w:color w:val="auto"/>
        </w:rPr>
        <w:t>Offer Notice</w:t>
      </w:r>
      <w:r>
        <w:rPr>
          <w:rFonts w:ascii="Arial" w:cs="Arial" w:eastAsia="Arial" w:hAnsi="Arial"/>
          <w:sz w:val="17"/>
          <w:szCs w:val="17"/>
          <w:color w:val="auto"/>
        </w:rPr>
        <w:t>”) to the Investor, stating (i) its intention to commence the New ATM Offering, which may be subject to conditions, (ii) the amount of Common Stock it proposes to offer as part of the New ATM Offering, which may be expressed as a range and may be subject to change, and (iii) the earliest contemplated commencement date of the New ATM Offering. To exercise its right pursuant to this Section 5.07, Investor must provide the Company notice by e-mail within three (3) Business Days of receiving the Offer Notice that the Investor wishes to participate. Investor must execute and deliver the New Subscription Agreement no later than one Business Day prior to the contemplated commencement date of the New ATM Offering. Nothing in this Section 5.07 shall be construed to require the Company to delay or modify any New ATM Offering so long as the foregoing Offer Notice period is complied with.</w:t>
      </w:r>
    </w:p>
    <w:p>
      <w:pPr>
        <w:spacing w:after="0" w:line="18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Market Standoff</w:t>
      </w:r>
      <w:r>
        <w:rPr>
          <w:rFonts w:ascii="Arial" w:cs="Arial" w:eastAsia="Arial" w:hAnsi="Arial"/>
          <w:sz w:val="17"/>
          <w:szCs w:val="17"/>
          <w:color w:val="auto"/>
        </w:rPr>
        <w:t>. (a) The Investor hereby agrees that, during each period beginning on the date of any Closing and ending on the date that is six (6) months after such Closing (a “</w:t>
      </w:r>
      <w:r>
        <w:rPr>
          <w:rFonts w:ascii="Arial" w:cs="Arial" w:eastAsia="Arial" w:hAnsi="Arial"/>
          <w:sz w:val="17"/>
          <w:szCs w:val="17"/>
          <w:b w:val="1"/>
          <w:bCs w:val="1"/>
          <w:color w:val="auto"/>
        </w:rPr>
        <w:t>Lock-up Period</w:t>
      </w:r>
      <w:r>
        <w:rPr>
          <w:rFonts w:ascii="Arial" w:cs="Arial" w:eastAsia="Arial" w:hAnsi="Arial"/>
          <w:sz w:val="17"/>
          <w:szCs w:val="17"/>
          <w:color w:val="auto"/>
        </w:rPr>
        <w:t>”), the Investor will not, without the prior written consent of the Company,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owned by the Investor as of the date hereof or hereafter acquired by the Investor or with respect to which the Investor has or hereafter acquires the power of disposition (collectively, the “</w:t>
      </w:r>
      <w:r>
        <w:rPr>
          <w:rFonts w:ascii="Arial" w:cs="Arial" w:eastAsia="Arial" w:hAnsi="Arial"/>
          <w:sz w:val="17"/>
          <w:szCs w:val="17"/>
          <w:b w:val="1"/>
          <w:bCs w:val="1"/>
          <w:color w:val="auto"/>
        </w:rPr>
        <w:t>Lock-Up Securities</w:t>
      </w:r>
      <w:r>
        <w:rPr>
          <w:rFonts w:ascii="Arial" w:cs="Arial" w:eastAsia="Arial" w:hAnsi="Arial"/>
          <w:sz w:val="17"/>
          <w:szCs w:val="17"/>
          <w:color w:val="auto"/>
        </w:rPr>
        <w: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 w:name="page54"/>
    <w:bookmarkEnd w:id="53"/>
    <w:p>
      <w:pPr>
        <w:ind w:right="100" w:firstLine="1304"/>
        <w:spacing w:after="0" w:line="291" w:lineRule="auto"/>
        <w:tabs>
          <w:tab w:leader="none" w:pos="1596"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Notwithstanding Section 5.08(a), and subject to the conditions below, the Investor may transfer the Lock-Up Securities without the prior written consent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of Lock-Up Securities pursuant to clauses (i) through (iii) of this</w:t>
      </w:r>
    </w:p>
    <w:p>
      <w:pPr>
        <w:spacing w:after="0" w:line="281" w:lineRule="auto"/>
        <w:rPr>
          <w:rFonts w:ascii="Arial" w:cs="Arial" w:eastAsia="Arial" w:hAnsi="Arial"/>
          <w:sz w:val="16"/>
          <w:szCs w:val="16"/>
          <w:color w:val="auto"/>
        </w:rPr>
      </w:pPr>
      <w:r>
        <w:rPr>
          <w:rFonts w:ascii="Arial" w:cs="Arial" w:eastAsia="Arial" w:hAnsi="Arial"/>
          <w:sz w:val="16"/>
          <w:szCs w:val="16"/>
          <w:color w:val="auto"/>
        </w:rPr>
        <w:t>Section 5.08(b), (1) each donee, trustee, distributee, or transferee, as the case may be, shall agree in writing to be similarly bound during the balance of the Lock-Up Period, (2) any such transfer shall not involve a disposition for value, (3) any required public report or filing (including filings under</w:t>
      </w:r>
    </w:p>
    <w:p>
      <w:pPr>
        <w:spacing w:after="0" w:line="1" w:lineRule="exact"/>
        <w:rPr>
          <w:rFonts w:ascii="Arial" w:cs="Arial" w:eastAsia="Arial" w:hAnsi="Arial"/>
          <w:sz w:val="16"/>
          <w:szCs w:val="16"/>
          <w:color w:val="auto"/>
        </w:rPr>
      </w:pPr>
    </w:p>
    <w:p>
      <w:pPr>
        <w:ind w:right="200"/>
        <w:spacing w:after="0" w:line="260" w:lineRule="auto"/>
        <w:rPr>
          <w:rFonts w:ascii="Arial" w:cs="Arial" w:eastAsia="Arial" w:hAnsi="Arial"/>
          <w:sz w:val="16"/>
          <w:szCs w:val="16"/>
          <w:color w:val="auto"/>
        </w:rPr>
      </w:pPr>
      <w:r>
        <w:rPr>
          <w:rFonts w:ascii="Arial" w:cs="Arial" w:eastAsia="Arial" w:hAnsi="Arial"/>
          <w:sz w:val="18"/>
          <w:szCs w:val="18"/>
          <w:color w:val="auto"/>
        </w:rPr>
        <w:t>Section 16(a) of the Exchange Act) shall disclose the nature of such transfer and that the Lock-Up Securities remain subject to the terms set forth in this Section 5.08, and (4) the Investor does not otherwise voluntarily effect any public filing or report regarding such transfers:</w:t>
      </w:r>
    </w:p>
    <w:p>
      <w:pPr>
        <w:spacing w:after="0" w:line="185" w:lineRule="exact"/>
        <w:rPr>
          <w:rFonts w:ascii="Arial" w:cs="Arial" w:eastAsia="Arial" w:hAnsi="Arial"/>
          <w:sz w:val="16"/>
          <w:szCs w:val="16"/>
          <w:color w:val="auto"/>
        </w:rPr>
      </w:pPr>
    </w:p>
    <w:p>
      <w:pPr>
        <w:ind w:left="1400" w:hanging="74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to charitable organizations; or</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 Affiliate of the Investor; or</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 nominee or custodian of any Person to whom a transfer would be permissible under clauses (1) or (2) above; or</w:t>
      </w:r>
    </w:p>
    <w:p>
      <w:pPr>
        <w:spacing w:after="0" w:line="225" w:lineRule="exact"/>
        <w:rPr>
          <w:rFonts w:ascii="Arial" w:cs="Arial" w:eastAsia="Arial" w:hAnsi="Arial"/>
          <w:sz w:val="18"/>
          <w:szCs w:val="18"/>
          <w:color w:val="auto"/>
        </w:rPr>
      </w:pPr>
    </w:p>
    <w:p>
      <w:pPr>
        <w:ind w:right="140" w:firstLine="656"/>
        <w:spacing w:after="0" w:line="279" w:lineRule="auto"/>
        <w:tabs>
          <w:tab w:leader="none" w:pos="13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tender offer, merger, consolidation or other similar transaction is not completed, the Investor’s Lock-Up Securities shall remain subject to this Section 5.08.</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For purposes of Section 5.08, “</w:t>
      </w:r>
      <w:r>
        <w:rPr>
          <w:rFonts w:ascii="Arial" w:cs="Arial" w:eastAsia="Arial" w:hAnsi="Arial"/>
          <w:sz w:val="17"/>
          <w:szCs w:val="17"/>
          <w:b w:val="1"/>
          <w:bCs w:val="1"/>
          <w:color w:val="auto"/>
        </w:rPr>
        <w:t>Change of Control</w:t>
      </w:r>
      <w:r>
        <w:rPr>
          <w:rFonts w:ascii="Arial" w:cs="Arial" w:eastAsia="Arial" w:hAnsi="Arial"/>
          <w:sz w:val="17"/>
          <w:szCs w:val="17"/>
          <w:color w:val="auto"/>
        </w:rPr>
        <w:t xml:space="preserve">”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50% of the outstanding voting securities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acquisition by the Investor, the Public Investment Fund or any of their respective Affiliates of voting securities of the Company shall not constitute a Change of Control.</w:t>
      </w:r>
    </w:p>
    <w:p>
      <w:pPr>
        <w:spacing w:after="0" w:line="172" w:lineRule="exact"/>
        <w:rPr>
          <w:sz w:val="20"/>
          <w:szCs w:val="20"/>
          <w:color w:val="auto"/>
        </w:rPr>
      </w:pPr>
    </w:p>
    <w:p>
      <w:pPr>
        <w:ind w:right="40" w:firstLine="656"/>
        <w:spacing w:after="0" w:line="277" w:lineRule="auto"/>
        <w:tabs>
          <w:tab w:leader="none" w:pos="9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Investor agrees and consents to the entry of stop transfer instructions with the Company’s transfer agent and registrar against the transfer of the Lock-Up Securities except in compliance with this Section 5.08.</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Condition to the Obligations of the Company and the Investor</w:t>
      </w:r>
      <w:r>
        <w:rPr>
          <w:rFonts w:ascii="Arial" w:cs="Arial" w:eastAsia="Arial" w:hAnsi="Arial"/>
          <w:sz w:val="17"/>
          <w:szCs w:val="17"/>
          <w:color w:val="auto"/>
        </w:rPr>
        <w:t>. The respective obligations of each of the Company and the Investor to effect any Closing shall be subject to the satisfaction (or waiver, if permissible under applicable Law) on or prior to the applicable Closing Date of the condition that no Judgment shall be enacted, promulgated, issued, entered, or threatened by any Governmental Authority and no applicable Law (collectively, “</w:t>
      </w:r>
      <w:r>
        <w:rPr>
          <w:rFonts w:ascii="Arial" w:cs="Arial" w:eastAsia="Arial" w:hAnsi="Arial"/>
          <w:sz w:val="17"/>
          <w:szCs w:val="17"/>
          <w:b w:val="1"/>
          <w:bCs w:val="1"/>
          <w:color w:val="auto"/>
        </w:rPr>
        <w:t>Restraints</w:t>
      </w:r>
      <w:r>
        <w:rPr>
          <w:rFonts w:ascii="Arial" w:cs="Arial" w:eastAsia="Arial" w:hAnsi="Arial"/>
          <w:sz w:val="17"/>
          <w:szCs w:val="17"/>
          <w:color w:val="auto"/>
        </w:rPr>
        <w:t>”) shall be in effect enjoining or otherwise prohibiting consummation of this Agreement.</w:t>
      </w:r>
    </w:p>
    <w:p>
      <w:pPr>
        <w:spacing w:after="0" w:line="17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Conditions to the Obligations of the Company</w:t>
      </w:r>
      <w:r>
        <w:rPr>
          <w:rFonts w:ascii="Arial" w:cs="Arial" w:eastAsia="Arial" w:hAnsi="Arial"/>
          <w:sz w:val="17"/>
          <w:szCs w:val="17"/>
          <w:color w:val="auto"/>
        </w:rPr>
        <w:t>. The obligations of the Company to effect a Closing shall be further subject to the satisfaction (or waiver, if permissible under applicable Law) on or prior to the applicable Closing Date of the following conditions:</w:t>
      </w:r>
    </w:p>
    <w:p>
      <w:pPr>
        <w:spacing w:after="0" w:line="146" w:lineRule="exact"/>
        <w:rPr>
          <w:sz w:val="20"/>
          <w:szCs w:val="20"/>
          <w:color w:val="auto"/>
        </w:rPr>
      </w:pPr>
    </w:p>
    <w:p>
      <w:pPr>
        <w:ind w:right="60" w:firstLine="656"/>
        <w:spacing w:after="0" w:line="263" w:lineRule="auto"/>
        <w:tabs>
          <w:tab w:leader="none" w:pos="13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representations and warranties of the Investor set forth in this Agreement shall be true and correct as of the date of this Agreement and as of such Closing Date with the same effect as though made on and as of such date (except to the extent expressly made as of an earlier date, in which case as of such earlier date); and</w:t>
      </w:r>
    </w:p>
    <w:p>
      <w:pPr>
        <w:spacing w:after="0" w:line="183" w:lineRule="exact"/>
        <w:rPr>
          <w:rFonts w:ascii="Arial" w:cs="Arial" w:eastAsia="Arial" w:hAnsi="Arial"/>
          <w:sz w:val="18"/>
          <w:szCs w:val="18"/>
          <w:color w:val="auto"/>
        </w:rPr>
      </w:pPr>
    </w:p>
    <w:p>
      <w:pPr>
        <w:ind w:firstLine="656"/>
        <w:spacing w:after="0" w:line="277" w:lineRule="auto"/>
        <w:tabs>
          <w:tab w:leader="none" w:pos="13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Investor shall have complied with or performed in all material respects its obligations and covenants required to be complied with or performed by it pursuant to this Agreement at or prior to such Closing.</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Conditions to the Obligations of the Investor</w:t>
      </w:r>
      <w:r>
        <w:rPr>
          <w:rFonts w:ascii="Arial" w:cs="Arial" w:eastAsia="Arial" w:hAnsi="Arial"/>
          <w:sz w:val="17"/>
          <w:szCs w:val="17"/>
          <w:color w:val="auto"/>
        </w:rPr>
        <w:t>. The obligations of the Investor to effect a Closing shall be further subject to the satisfaction (or waiver, if permissible under applicable Law) on or prior to the applicable Closing Date of the following conditions:</w:t>
      </w:r>
    </w:p>
    <w:p>
      <w:pPr>
        <w:spacing w:after="0" w:line="146" w:lineRule="exact"/>
        <w:rPr>
          <w:sz w:val="20"/>
          <w:szCs w:val="20"/>
          <w:color w:val="auto"/>
        </w:rPr>
      </w:pPr>
    </w:p>
    <w:p>
      <w:pPr>
        <w:jc w:val="both"/>
        <w:ind w:right="60" w:firstLine="656"/>
        <w:spacing w:after="0" w:line="259" w:lineRule="auto"/>
        <w:tabs>
          <w:tab w:leader="none" w:pos="13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set forth in this Agreement shall be true and correct as of the date of this Agreement and as of such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ind w:right="100" w:firstLine="656"/>
        <w:spacing w:after="0" w:line="277" w:lineRule="auto"/>
        <w:tabs>
          <w:tab w:leader="none" w:pos="13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complied with or performed in all material respects its obligations and covenants required to be complied with or performed by it pursuant to this Agreement at or prior to such Closing;</w:t>
      </w:r>
    </w:p>
    <w:p>
      <w:pPr>
        <w:spacing w:after="0" w:line="170" w:lineRule="exact"/>
        <w:rPr>
          <w:rFonts w:ascii="Arial" w:cs="Arial" w:eastAsia="Arial" w:hAnsi="Arial"/>
          <w:sz w:val="18"/>
          <w:szCs w:val="18"/>
          <w:color w:val="auto"/>
        </w:rPr>
      </w:pPr>
    </w:p>
    <w:p>
      <w:pPr>
        <w:ind w:right="60" w:firstLine="656"/>
        <w:spacing w:after="0" w:line="277" w:lineRule="auto"/>
        <w:tabs>
          <w:tab w:leader="none" w:pos="13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obtained any and all consents, permits, approvals, registrations and waivers necessary for consummation of the applicable Placement;</w:t>
      </w:r>
    </w:p>
    <w:p>
      <w:pPr>
        <w:spacing w:after="0" w:line="170" w:lineRule="exact"/>
        <w:rPr>
          <w:rFonts w:ascii="Arial" w:cs="Arial" w:eastAsia="Arial" w:hAnsi="Arial"/>
          <w:sz w:val="18"/>
          <w:szCs w:val="18"/>
          <w:color w:val="auto"/>
        </w:rPr>
      </w:pPr>
    </w:p>
    <w:p>
      <w:pPr>
        <w:ind w:right="420" w:firstLine="656"/>
        <w:spacing w:after="0" w:line="277" w:lineRule="auto"/>
        <w:tabs>
          <w:tab w:leader="none" w:pos="13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the Nasdaq, the SEC or any other Governmental Authority with respect to the public trading in the Common Stock;</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left="1400" w:hanging="744"/>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Common Stock shall be listed on the Nasdaq; and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Investor Rights Agreement, as amended by the IRA Amendment, shall be in full force and effect.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r>
        <w:rPr>
          <w:rFonts w:ascii="Arial" w:cs="Arial" w:eastAsia="Arial" w:hAnsi="Arial"/>
          <w:sz w:val="18"/>
          <w:szCs w:val="18"/>
          <w:color w:val="auto"/>
        </w:rPr>
        <w:t>; S</w:t>
      </w:r>
      <w:r>
        <w:rPr>
          <w:rFonts w:ascii="Arial" w:cs="Arial" w:eastAsia="Arial" w:hAnsi="Arial"/>
          <w:sz w:val="12"/>
          <w:szCs w:val="12"/>
          <w:color w:val="auto"/>
        </w:rPr>
        <w:t>urvival</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will terminate automatically upon the earlier of (i) the expiration of the Term and (ii) the date upon which the Company has sold to the Investor pursuant to this Agreement Placement Shares for an aggregate purchase price equal to the Maximum Investment Amount. This Agreement may be terminated earlier:</w:t>
      </w:r>
    </w:p>
    <w:p>
      <w:pPr>
        <w:spacing w:after="0" w:line="184" w:lineRule="exact"/>
        <w:rPr>
          <w:sz w:val="20"/>
          <w:szCs w:val="20"/>
          <w:color w:val="auto"/>
        </w:rPr>
      </w:pPr>
    </w:p>
    <w:p>
      <w:pPr>
        <w:ind w:left="1400" w:hanging="744"/>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mutual written consent of the Company and the Investor;</w:t>
      </w:r>
    </w:p>
    <w:p>
      <w:pPr>
        <w:spacing w:after="0" w:line="225" w:lineRule="exact"/>
        <w:rPr>
          <w:rFonts w:ascii="Arial" w:cs="Arial" w:eastAsia="Arial" w:hAnsi="Arial"/>
          <w:sz w:val="18"/>
          <w:szCs w:val="18"/>
          <w:color w:val="auto"/>
        </w:rPr>
      </w:pPr>
    </w:p>
    <w:p>
      <w:pPr>
        <w:jc w:val="both"/>
        <w:ind w:right="160" w:firstLine="656"/>
        <w:spacing w:after="0" w:line="263" w:lineRule="auto"/>
        <w:tabs>
          <w:tab w:leader="none" w:pos="13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either the Company or the Investor if the ATM Agreement has been terminated in accordance with its terms following its execution (or, if the ATM Agreement has not been executed, if the Company provides written notice to the Investor that it does not intend to proceed with the ATM Offering prior to March 31, 2023);</w:t>
      </w:r>
    </w:p>
    <w:p>
      <w:pPr>
        <w:spacing w:after="0" w:line="183" w:lineRule="exact"/>
        <w:rPr>
          <w:rFonts w:ascii="Arial" w:cs="Arial" w:eastAsia="Arial" w:hAnsi="Arial"/>
          <w:sz w:val="18"/>
          <w:szCs w:val="18"/>
          <w:color w:val="auto"/>
        </w:rPr>
      </w:pPr>
    </w:p>
    <w:p>
      <w:pPr>
        <w:ind w:right="180" w:firstLine="656"/>
        <w:spacing w:after="0" w:line="291" w:lineRule="auto"/>
        <w:tabs>
          <w:tab w:leader="none" w:pos="13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by either the Company or the Investor, if any Restraint enjoining or otherwise prohibiting consummation of this Agreement shall be in effect and shall have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party seeking to terminate this Agreement pursuant to this Section 7.01(c) shall</w:t>
      </w:r>
    </w:p>
    <w:p>
      <w:pPr>
        <w:spacing w:after="0"/>
        <w:rPr>
          <w:rFonts w:ascii="Arial" w:cs="Arial" w:eastAsia="Arial" w:hAnsi="Arial"/>
          <w:sz w:val="16"/>
          <w:szCs w:val="16"/>
          <w:color w:val="auto"/>
        </w:rPr>
      </w:pPr>
      <w:r>
        <w:rPr>
          <w:rFonts w:ascii="Arial" w:cs="Arial" w:eastAsia="Arial" w:hAnsi="Arial"/>
          <w:sz w:val="18"/>
          <w:szCs w:val="18"/>
          <w:color w:val="auto"/>
        </w:rPr>
        <w:t>have used the required efforts to cause the conditions to Closing to be satisfied in accordance with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5.01;</w:t>
      </w:r>
    </w:p>
    <w:p>
      <w:pPr>
        <w:spacing w:after="0" w:line="210" w:lineRule="exact"/>
        <w:rPr>
          <w:rFonts w:ascii="Arial" w:cs="Arial" w:eastAsia="Arial" w:hAnsi="Arial"/>
          <w:sz w:val="16"/>
          <w:szCs w:val="16"/>
          <w:color w:val="auto"/>
        </w:rPr>
      </w:pPr>
    </w:p>
    <w:p>
      <w:pPr>
        <w:ind w:left="1400" w:hanging="744"/>
        <w:spacing w:after="0"/>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by the Investor, if the Company shall have breached any of its representations or warranties or failed to perform any of its covenants or</w:t>
      </w:r>
    </w:p>
    <w:p>
      <w:pPr>
        <w:spacing w:after="0" w:line="46" w:lineRule="exact"/>
        <w:rPr>
          <w:rFonts w:ascii="Arial" w:cs="Arial" w:eastAsia="Arial" w:hAnsi="Arial"/>
          <w:sz w:val="16"/>
          <w:szCs w:val="16"/>
          <w:color w:val="auto"/>
        </w:rPr>
      </w:pPr>
    </w:p>
    <w:p>
      <w:pPr>
        <w:jc w:val="both"/>
        <w:ind w:right="320"/>
        <w:spacing w:after="0" w:line="281" w:lineRule="auto"/>
        <w:rPr>
          <w:rFonts w:ascii="Arial" w:cs="Arial" w:eastAsia="Arial" w:hAnsi="Arial"/>
          <w:sz w:val="16"/>
          <w:szCs w:val="16"/>
          <w:color w:val="auto"/>
        </w:rPr>
      </w:pPr>
      <w:r>
        <w:rPr>
          <w:rFonts w:ascii="Arial" w:cs="Arial" w:eastAsia="Arial" w:hAnsi="Arial"/>
          <w:sz w:val="16"/>
          <w:szCs w:val="16"/>
          <w:color w:val="auto"/>
        </w:rPr>
        <w:t>agreements set forth in this Agreement, which breach or failure to perform (i) would give rise to the failure of a condition set forth in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6.03(a) or Section 6.03(b) and (ii) shall not have been cured within thirty (30) calendar days following receipt by the Company of written notice of such breach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failure to perform from the Investor stating the Investor’s intention to terminate this Agreement pursuant to this Section</w:t>
      </w:r>
      <w:r>
        <w:rPr>
          <w:rFonts w:ascii="Arial" w:cs="Arial" w:eastAsia="Arial" w:hAnsi="Arial"/>
          <w:sz w:val="17"/>
          <w:szCs w:val="17"/>
          <w:b w:val="1"/>
          <w:bCs w:val="1"/>
          <w:color w:val="auto"/>
        </w:rPr>
        <w:t>‎</w:t>
      </w:r>
      <w:r>
        <w:rPr>
          <w:rFonts w:ascii="Arial" w:cs="Arial" w:eastAsia="Arial" w:hAnsi="Arial"/>
          <w:sz w:val="17"/>
          <w:szCs w:val="17"/>
          <w:color w:val="auto"/>
        </w:rPr>
        <w:t xml:space="preserve"> 7.01(d) and the basis for such</w:t>
      </w:r>
    </w:p>
    <w:p>
      <w:pPr>
        <w:spacing w:after="0" w:line="20"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Investor shall not have the right to terminate this Agreement pursuant to this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7.01(d) if the Investor is then in material breach of any of its representations, warranties, covenants or agreements hereunder, which breach would give rise to the failure of any condition set forth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6.02(a) or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6.02(b) to be satisfied; or</w:t>
      </w:r>
    </w:p>
    <w:p>
      <w:pPr>
        <w:spacing w:after="0" w:line="210" w:lineRule="exact"/>
        <w:rPr>
          <w:rFonts w:ascii="Arial" w:cs="Arial" w:eastAsia="Arial" w:hAnsi="Arial"/>
          <w:sz w:val="16"/>
          <w:szCs w:val="16"/>
          <w:color w:val="auto"/>
        </w:rPr>
      </w:pPr>
    </w:p>
    <w:p>
      <w:pPr>
        <w:ind w:left="1400" w:hanging="744"/>
        <w:spacing w:after="0"/>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by the Company, if the Investor shall have breached any of its representations or warranties or failed to perform any of its covenants or</w:t>
      </w:r>
    </w:p>
    <w:p>
      <w:pPr>
        <w:spacing w:after="0" w:line="46" w:lineRule="exact"/>
        <w:rPr>
          <w:rFonts w:ascii="Arial" w:cs="Arial" w:eastAsia="Arial" w:hAnsi="Arial"/>
          <w:sz w:val="16"/>
          <w:szCs w:val="16"/>
          <w:color w:val="auto"/>
        </w:rPr>
      </w:pPr>
    </w:p>
    <w:p>
      <w:pPr>
        <w:ind w:right="320"/>
        <w:spacing w:after="0" w:line="281" w:lineRule="auto"/>
        <w:rPr>
          <w:rFonts w:ascii="Arial" w:cs="Arial" w:eastAsia="Arial" w:hAnsi="Arial"/>
          <w:sz w:val="16"/>
          <w:szCs w:val="16"/>
          <w:color w:val="auto"/>
        </w:rPr>
      </w:pPr>
      <w:r>
        <w:rPr>
          <w:rFonts w:ascii="Arial" w:cs="Arial" w:eastAsia="Arial" w:hAnsi="Arial"/>
          <w:sz w:val="16"/>
          <w:szCs w:val="16"/>
          <w:color w:val="auto"/>
        </w:rPr>
        <w:t>agreements set forth in this Agreement, which breach or failure to perform (i) would give rise to the failure of a condition set forth in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6.02(a) or Section 6.02(b) and (ii) shall not have been cured within thirty (30) calendar days following receipt by the Investor of written notice of such breach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failure to perform from the Company stating the Company’s intention to terminate this Agreement pursuant to this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7.01(e) and the basis for such</w:t>
      </w:r>
    </w:p>
    <w:p>
      <w:pPr>
        <w:spacing w:after="0" w:line="32" w:lineRule="exact"/>
        <w:rPr>
          <w:rFonts w:ascii="Arial" w:cs="Arial" w:eastAsia="Arial" w:hAnsi="Arial"/>
          <w:sz w:val="16"/>
          <w:szCs w:val="16"/>
          <w:color w:val="auto"/>
        </w:rPr>
      </w:pPr>
    </w:p>
    <w:p>
      <w:pPr>
        <w:ind w:right="2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have the right to terminate this Agreement pursuant to this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7.01(e) if the Company is then in material breach of any of its representations, warranties, covenants or agreements hereunder, which breach would give rise to the failure of any condition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 in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6.03(a) or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6.03(b) to be satisfied.</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firstLine="648"/>
        <w:spacing w:after="0" w:line="277"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7.01, written notice thereof shall be given to the other party, specifying the provision hereof pursuant to which such termination is made, and this Agreement shall forthwith become null and void (other than </w:t>
      </w:r>
      <w:r>
        <w:rPr>
          <w:rFonts w:ascii="Arial" w:cs="Arial" w:eastAsia="Arial" w:hAnsi="Arial"/>
          <w:sz w:val="17"/>
          <w:szCs w:val="17"/>
          <w:b w:val="1"/>
          <w:bCs w:val="1"/>
          <w:color w:val="auto"/>
        </w:rPr>
        <w:t>‎</w:t>
      </w:r>
      <w:r>
        <w:rPr>
          <w:rFonts w:ascii="Arial" w:cs="Arial" w:eastAsia="Arial" w:hAnsi="Arial"/>
          <w:sz w:val="17"/>
          <w:szCs w:val="17"/>
          <w:color w:val="auto"/>
        </w:rPr>
        <w:t xml:space="preserve">Article 1,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5.03, Section 5.08, this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7.02 and </w:t>
      </w:r>
      <w:r>
        <w:rPr>
          <w:rFonts w:ascii="Arial" w:cs="Arial" w:eastAsia="Arial" w:hAnsi="Arial"/>
          <w:sz w:val="17"/>
          <w:szCs w:val="17"/>
          <w:b w:val="1"/>
          <w:bCs w:val="1"/>
          <w:color w:val="auto"/>
        </w:rPr>
        <w:t>‎</w:t>
      </w:r>
      <w:r>
        <w:rPr>
          <w:rFonts w:ascii="Arial" w:cs="Arial" w:eastAsia="Arial" w:hAnsi="Arial"/>
          <w:sz w:val="17"/>
          <w:szCs w:val="17"/>
          <w:color w:val="auto"/>
        </w:rPr>
        <w:t>Article 8,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72"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Survival</w:t>
      </w:r>
      <w:r>
        <w:rPr>
          <w:rFonts w:ascii="Arial" w:cs="Arial" w:eastAsia="Arial" w:hAnsi="Arial"/>
          <w:sz w:val="16"/>
          <w:szCs w:val="16"/>
          <w:color w:val="auto"/>
        </w:rPr>
        <w:t>. Subject to Section 7.02,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a Closing Date shall survive until the applicable Closing Date and shall then expire.</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any Placement, in no event exceed the aggregate purchase price paid by the Investor pursuant to this Agreement.</w:t>
      </w:r>
    </w:p>
    <w:p>
      <w:pPr>
        <w:spacing w:after="0" w:line="19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Extension</w:t>
      </w:r>
      <w:r>
        <w:rPr>
          <w:rFonts w:ascii="Arial" w:cs="Arial" w:eastAsia="Arial" w:hAnsi="Arial"/>
          <w:sz w:val="16"/>
          <w:szCs w:val="16"/>
          <w:color w:val="auto"/>
        </w:rPr>
        <w:t>. Notwithstanding the provisions of this Article 7 and subject to the terms and conditions of this Agreement, the Term may be extended by a period of one (1) month by mutual written consent of the Company and Investor. In order to extend the Term, either the Company or the Investor must provide notice (the “</w:t>
      </w:r>
      <w:r>
        <w:rPr>
          <w:rFonts w:ascii="Arial" w:cs="Arial" w:eastAsia="Arial" w:hAnsi="Arial"/>
          <w:sz w:val="16"/>
          <w:szCs w:val="16"/>
          <w:b w:val="1"/>
          <w:bCs w:val="1"/>
          <w:color w:val="auto"/>
        </w:rPr>
        <w:t>Extension Notice</w:t>
      </w:r>
      <w:r>
        <w:rPr>
          <w:rFonts w:ascii="Arial" w:cs="Arial" w:eastAsia="Arial" w:hAnsi="Arial"/>
          <w:sz w:val="16"/>
          <w:szCs w:val="16"/>
          <w:color w:val="auto"/>
        </w:rPr>
        <w:t>”) to the other party at least ten (10) Business Days prior to the expiration of the Term. In order for the Term to be extended pursuant to this Section 7.04, the party receiving the Extension Notice must provide the other party notice within three</w:t>
      </w:r>
    </w:p>
    <w:p>
      <w:pPr>
        <w:spacing w:after="0" w:line="1" w:lineRule="exact"/>
        <w:rPr>
          <w:sz w:val="20"/>
          <w:szCs w:val="20"/>
          <w:color w:val="auto"/>
        </w:rPr>
      </w:pPr>
    </w:p>
    <w:p>
      <w:pPr>
        <w:ind w:right="160" w:firstLine="8"/>
        <w:spacing w:after="0" w:line="26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Days of receiving the Extension Notice that they wish to extend the Term. Any extension of the Term shall remain subject to this Agreement in all respects. For the avoidance of doubt, there is no limit to the number of times the Term may be extended.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Amendments; Waivers</w:t>
      </w:r>
      <w:r>
        <w:rPr>
          <w:rFonts w:ascii="Arial" w:cs="Arial" w:eastAsia="Arial" w:hAnsi="Arial"/>
          <w:sz w:val="18"/>
          <w:szCs w:val="18"/>
          <w:color w:val="auto"/>
        </w:rPr>
        <w:t>. Subject to compliance with applicable Law, this Agreement may be amended or supplemented in any and all respects by written agreement of the parties hereto.</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firstLine="648"/>
        <w:spacing w:after="0" w:line="272"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Extension of Time, Waiver, Etc</w:t>
      </w:r>
      <w:r>
        <w:rPr>
          <w:rFonts w:ascii="Arial" w:cs="Arial" w:eastAsia="Arial" w:hAnsi="Arial"/>
          <w:sz w:val="17"/>
          <w:szCs w:val="17"/>
          <w:color w:val="auto"/>
        </w:rPr>
        <w:t>.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Assignment</w:t>
      </w:r>
      <w:r>
        <w:rPr>
          <w:rFonts w:ascii="Arial" w:cs="Arial" w:eastAsia="Arial" w:hAnsi="Arial"/>
          <w:sz w:val="18"/>
          <w:szCs w:val="18"/>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hereto (including by electronic signature) and delivered to the other parties hereto (including electronically, e.g., in PDF format).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Entire Agreement; No Third-Party Beneficiaries</w:t>
      </w:r>
      <w:r>
        <w:rPr>
          <w:rFonts w:ascii="Arial" w:cs="Arial" w:eastAsia="Arial" w:hAnsi="Arial"/>
          <w:sz w:val="18"/>
          <w:szCs w:val="18"/>
          <w:color w:val="auto"/>
        </w:rPr>
        <w:t>. This Agreement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8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Governing Law; Jurisdiction</w:t>
      </w:r>
      <w:r>
        <w:rPr>
          <w:rFonts w:ascii="Arial" w:cs="Arial" w:eastAsia="Arial" w:hAnsi="Arial"/>
          <w:sz w:val="18"/>
          <w:szCs w:val="18"/>
          <w:color w:val="auto"/>
        </w:rPr>
        <w:t>. (a) This Agreement and all matters, claims or Actions (whether at law, in equity, in Contract, in tort or otherwise) based upon, arising out of or relating to this Agreement, execution or performance of this Agreement, shall be governed by, and construed in accordance with, the internal laws of the State of New York.</w:t>
      </w:r>
    </w:p>
    <w:p>
      <w:pPr>
        <w:spacing w:after="0" w:line="184" w:lineRule="exact"/>
        <w:rPr>
          <w:sz w:val="20"/>
          <w:szCs w:val="20"/>
          <w:color w:val="auto"/>
        </w:rPr>
      </w:pPr>
    </w:p>
    <w:p>
      <w:pPr>
        <w:ind w:right="140" w:firstLine="656"/>
        <w:spacing w:after="0" w:line="286" w:lineRule="auto"/>
        <w:tabs>
          <w:tab w:leader="none" w:pos="13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Actions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Action and irrevocably waive the defense of an inconvenient forum or lack of jurisdiction to the maintenance of any such Action. Each party hereto agrees that service of process upon such party in any</w:t>
      </w:r>
    </w:p>
    <w:p>
      <w:pPr>
        <w:spacing w:after="0" w:line="1" w:lineRule="exact"/>
        <w:rPr>
          <w:rFonts w:ascii="Arial" w:cs="Arial" w:eastAsia="Arial" w:hAnsi="Arial"/>
          <w:sz w:val="16"/>
          <w:szCs w:val="16"/>
          <w:color w:val="auto"/>
        </w:rPr>
      </w:pPr>
    </w:p>
    <w:p>
      <w:pPr>
        <w:ind w:right="160"/>
        <w:spacing w:after="0" w:line="253" w:lineRule="auto"/>
        <w:rPr>
          <w:rFonts w:ascii="Arial" w:cs="Arial" w:eastAsia="Arial" w:hAnsi="Arial"/>
          <w:sz w:val="16"/>
          <w:szCs w:val="16"/>
          <w:color w:val="auto"/>
        </w:rPr>
      </w:pPr>
      <w:r>
        <w:rPr>
          <w:rFonts w:ascii="Arial" w:cs="Arial" w:eastAsia="Arial" w:hAnsi="Arial"/>
          <w:sz w:val="18"/>
          <w:szCs w:val="18"/>
          <w:color w:val="auto"/>
        </w:rPr>
        <w:t>Action arising out of or relating to this Agreement shall be effective if notice is given by overnight courier at the address set forth in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8.09.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the foregoing shall restrict any party’s rights to seek any post-judgment relief regarding, or any appeal from, a final trial court judgment.</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right="20" w:firstLine="648"/>
        <w:spacing w:after="0" w:line="284"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Specific Enforcement</w:t>
      </w:r>
      <w:r>
        <w:rPr>
          <w:rFonts w:ascii="Arial" w:cs="Arial" w:eastAsia="Arial" w:hAnsi="Arial"/>
          <w:sz w:val="16"/>
          <w:szCs w:val="16"/>
          <w:color w:val="auto"/>
        </w:rPr>
        <w:t>.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any Closing to occur, and that time is of the essence. Subject to the determination of a court of competent jurisdiction,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any Placement to be consummated on the terms and subject to the conditions set</w:t>
      </w:r>
    </w:p>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forth in this Agreement) in the courts described in Section</w:t>
      </w:r>
      <w:r>
        <w:rPr>
          <w:rFonts w:ascii="Arial" w:cs="Arial" w:eastAsia="Arial" w:hAnsi="Arial"/>
          <w:sz w:val="17"/>
          <w:szCs w:val="17"/>
          <w:b w:val="1"/>
          <w:bCs w:val="1"/>
          <w:color w:val="auto"/>
        </w:rPr>
        <w:t>‎</w:t>
      </w:r>
      <w:r>
        <w:rPr>
          <w:rFonts w:ascii="Arial" w:cs="Arial" w:eastAsia="Arial" w:hAnsi="Arial"/>
          <w:sz w:val="17"/>
          <w:szCs w:val="17"/>
          <w:color w:val="auto"/>
        </w:rPr>
        <w:t xml:space="preserve"> 8.06,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7"/>
          <w:szCs w:val="17"/>
          <w:b w:val="1"/>
          <w:bCs w:val="1"/>
          <w:color w:val="auto"/>
        </w:rPr>
        <w:t>‎</w:t>
      </w:r>
      <w:r>
        <w:rPr>
          <w:rFonts w:ascii="Arial" w:cs="Arial" w:eastAsia="Arial" w:hAnsi="Arial"/>
          <w:sz w:val="17"/>
          <w:szCs w:val="17"/>
          <w:color w:val="auto"/>
        </w:rPr>
        <w:t>Section 8.07 shall not be required to provide any bond or other security in connection with any such order or injunction.</w:t>
      </w:r>
    </w:p>
    <w:p>
      <w:pPr>
        <w:spacing w:after="0" w:line="180"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i w:val="1"/>
          <w:iCs w:val="1"/>
          <w:color w:val="auto"/>
        </w:rPr>
        <w:t>WAIVER OF JURY TRIAL</w:t>
      </w:r>
      <w:r>
        <w:rPr>
          <w:rFonts w:ascii="Arial" w:cs="Arial" w:eastAsia="Arial" w:hAnsi="Arial"/>
          <w:sz w:val="17"/>
          <w:szCs w:val="17"/>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MUTUAL WAIVER AND CERTIFICATIONS IN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8.08.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9" w:name="page60"/>
    <w:bookmarkEnd w:id="59"/>
    <w:p>
      <w:pPr>
        <w:ind w:right="40" w:firstLine="648"/>
        <w:spacing w:after="0" w:line="308"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i w:val="1"/>
          <w:iCs w:val="1"/>
          <w:color w:val="auto"/>
        </w:rPr>
        <w:t>Notices</w:t>
      </w:r>
      <w:r>
        <w:rPr>
          <w:rFonts w:ascii="Arial" w:cs="Arial" w:eastAsia="Arial" w:hAnsi="Arial"/>
          <w:sz w:val="17"/>
          <w:szCs w:val="17"/>
          <w:color w:val="auto"/>
        </w:rPr>
        <w:t>. 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7373 Gateway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Legal@lucidmotors.com</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Emily Roberts</w:t>
      </w:r>
    </w:p>
    <w:p>
      <w:pPr>
        <w:spacing w:after="0" w:line="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emily.roberts@davispolk.com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Investor,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 Turki bin Abdul Aziz Al-Awal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6847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Riyadh 11452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Kingdom of Saudi Arabia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Turqi Alnowaiser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Yasir Alsalman</w:t>
      </w:r>
    </w:p>
    <w:p>
      <w:pPr>
        <w:spacing w:after="0" w:line="9"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talnowaiser@pif.gov.sa</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yalsalman@pif.gov.sa</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lightning.investment@pif.gov.sa</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lightning.legal@pif.gov.sa</w:t>
      </w:r>
    </w:p>
    <w:p>
      <w:pPr>
        <w:spacing w:after="0" w:line="9" w:lineRule="exact"/>
        <w:rPr>
          <w:sz w:val="20"/>
          <w:szCs w:val="20"/>
          <w:color w:val="auto"/>
        </w:rPr>
      </w:pPr>
    </w:p>
    <w:p>
      <w:pPr>
        <w:ind w:left="2100" w:hanging="796"/>
        <w:spacing w:after="0"/>
        <w:tabs>
          <w:tab w:leader="none" w:pos="2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Intl.operations@pif.gov.sa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1400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Thomas W. Kellerman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thomas.kellerman@morganlewis.com</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60" w:name="page61"/>
    <w:bookmarkEnd w:id="60"/>
    <w:p>
      <w:pPr>
        <w:ind w:right="140" w:firstLine="648"/>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expressly provided herein, all costs and expenses, including fees and disbursements of counsel, financial advisors and accountants, incurred in connection with this Agreement shall be paid by the party incurring such costs and expenses, whether or not the applicable Closing shall have occurred.</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i w:val="1"/>
          <w:iCs w:val="1"/>
          <w:color w:val="auto"/>
        </w:rPr>
        <w:t>Interpretation</w:t>
      </w:r>
      <w:r>
        <w:rPr>
          <w:rFonts w:ascii="Arial" w:cs="Arial" w:eastAsia="Arial" w:hAnsi="Arial"/>
          <w:sz w:val="17"/>
          <w:szCs w:val="17"/>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178" w:lineRule="exact"/>
        <w:rPr>
          <w:sz w:val="20"/>
          <w:szCs w:val="20"/>
          <w:color w:val="auto"/>
        </w:rPr>
      </w:pPr>
    </w:p>
    <w:p>
      <w:pPr>
        <w:jc w:val="both"/>
        <w:ind w:firstLine="656"/>
        <w:spacing w:after="0" w:line="263" w:lineRule="auto"/>
        <w:tabs>
          <w:tab w:leader="none" w:pos="13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3604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8" w:right="7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AYAR THIRD INVESTMENT COMPANY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Yasir O. AlRumayyan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3604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Yasir O. AlRumayyan</w:t>
      </w:r>
    </w:p>
    <w:p>
      <w:pPr>
        <w:spacing w:after="0" w:line="23"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8" w:right="7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NO. 1 TO INVESTOR RIGHTS AGREEMENT</w:t>
      </w:r>
    </w:p>
    <w:p>
      <w:pPr>
        <w:spacing w:after="0" w:line="225"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b w:val="1"/>
          <w:bCs w:val="1"/>
          <w:color w:val="auto"/>
        </w:rPr>
        <w:t>Amendment</w:t>
      </w:r>
      <w:r>
        <w:rPr>
          <w:rFonts w:ascii="Arial" w:cs="Arial" w:eastAsia="Arial" w:hAnsi="Arial"/>
          <w:sz w:val="16"/>
          <w:szCs w:val="16"/>
          <w:color w:val="auto"/>
        </w:rPr>
        <w:t>”), effective as of November 8, 2022, is made to that certain Investor Rights Agreement, dated as of February 22, 2021 (the “</w:t>
      </w:r>
      <w:r>
        <w:rPr>
          <w:rFonts w:ascii="Arial" w:cs="Arial" w:eastAsia="Arial" w:hAnsi="Arial"/>
          <w:sz w:val="16"/>
          <w:szCs w:val="16"/>
          <w:b w:val="1"/>
          <w:bCs w:val="1"/>
          <w:color w:val="auto"/>
        </w:rPr>
        <w:t>Agreement</w:t>
      </w:r>
      <w:r>
        <w:rPr>
          <w:rFonts w:ascii="Arial" w:cs="Arial" w:eastAsia="Arial" w:hAnsi="Arial"/>
          <w:sz w:val="16"/>
          <w:szCs w:val="16"/>
          <w:color w:val="auto"/>
        </w:rPr>
        <w:t>”), by and among (i) Churchill Capital Corp IV, a Delaware corporation (“</w:t>
      </w:r>
      <w:r>
        <w:rPr>
          <w:rFonts w:ascii="Arial" w:cs="Arial" w:eastAsia="Arial" w:hAnsi="Arial"/>
          <w:sz w:val="16"/>
          <w:szCs w:val="16"/>
          <w:b w:val="1"/>
          <w:bCs w:val="1"/>
          <w:color w:val="auto"/>
        </w:rPr>
        <w:t>PubCo</w:t>
      </w:r>
      <w:r>
        <w:rPr>
          <w:rFonts w:ascii="Arial" w:cs="Arial" w:eastAsia="Arial" w:hAnsi="Arial"/>
          <w:sz w:val="16"/>
          <w:szCs w:val="16"/>
          <w:color w:val="auto"/>
        </w:rPr>
        <w:t>”); (ii) Ayar Third Investment Company, a single shareholder limited liability company organized under the laws of the Kingdom of Saudi Arabia (“</w:t>
      </w:r>
      <w:r>
        <w:rPr>
          <w:rFonts w:ascii="Arial" w:cs="Arial" w:eastAsia="Arial" w:hAnsi="Arial"/>
          <w:sz w:val="16"/>
          <w:szCs w:val="16"/>
          <w:b w:val="1"/>
          <w:bCs w:val="1"/>
          <w:color w:val="auto"/>
        </w:rPr>
        <w:t>Ayar</w:t>
      </w:r>
      <w:r>
        <w:rPr>
          <w:rFonts w:ascii="Arial" w:cs="Arial" w:eastAsia="Arial" w:hAnsi="Arial"/>
          <w:sz w:val="16"/>
          <w:szCs w:val="16"/>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in connection with the Business Combination, PubCo changed its name to “Lucid Group, Inc.”</w:t>
      </w:r>
    </w:p>
    <w:p>
      <w:pPr>
        <w:spacing w:after="0" w:line="221"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WHEREAS, as of the date hereof, PubCo entered into that certain Subscription Agreement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Ayar, and it is a condition to the issuance and sale of the shares of Common Stock by PubCo to Ayar pursuant to the Subscription Agreement (such shares, the “</w:t>
      </w:r>
      <w:r>
        <w:rPr>
          <w:rFonts w:ascii="Arial" w:cs="Arial" w:eastAsia="Arial" w:hAnsi="Arial"/>
          <w:sz w:val="18"/>
          <w:szCs w:val="18"/>
          <w:b w:val="1"/>
          <w:bCs w:val="1"/>
          <w:color w:val="auto"/>
        </w:rPr>
        <w:t>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that the Agreement be amended as set forth in this Amendment;</w:t>
      </w:r>
    </w:p>
    <w:p>
      <w:pPr>
        <w:spacing w:after="0" w:line="18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Ayar holds more than fifty percent (50%) of the Registrable Securities Beneficially Owned by the Holders as of the date hereof.</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Ayar and PubCo amend the Agreement as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right="60" w:firstLine="324"/>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14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17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sentence is added to the end of section 2.3, which reads: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For the avoidance of doubt and notwithstanding anything to the contrary in this Investor Rights Agreement, any Confidential Information shared between PubCo and Ayar is subject to any and all non-disclosure and confidentiality agreements executed between such Parties, including the Investor Non-Disclosure Agreement, dated as of September 9, 2021, by and between PubCo and Ayar, as it may be amended and/or restated from time to time.</w:t>
      </w:r>
    </w:p>
    <w:p>
      <w:pPr>
        <w:spacing w:after="0" w:line="149" w:lineRule="exact"/>
        <w:rPr>
          <w:sz w:val="20"/>
          <w:szCs w:val="20"/>
          <w:color w:val="auto"/>
        </w:rPr>
      </w:pPr>
    </w:p>
    <w:p>
      <w:pPr>
        <w:jc w:val="both"/>
        <w:ind w:left="660" w:right="6500" w:hanging="4"/>
        <w:spacing w:after="0" w:line="563" w:lineRule="auto"/>
        <w:tabs>
          <w:tab w:leader="none" w:pos="9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 new Section 2.04 is added at the end of Article II: Section 2.04. </w:t>
      </w:r>
      <w:r>
        <w:rPr>
          <w:rFonts w:ascii="Arial" w:cs="Arial" w:eastAsia="Arial" w:hAnsi="Arial"/>
          <w:sz w:val="16"/>
          <w:szCs w:val="16"/>
          <w:i w:val="1"/>
          <w:iCs w:val="1"/>
          <w:color w:val="auto"/>
        </w:rPr>
        <w:t>Participation in Future Equity Financings</w:t>
      </w:r>
      <w:r>
        <w:rPr>
          <w:rFonts w:ascii="Arial" w:cs="Arial" w:eastAsia="Arial" w:hAnsi="Arial"/>
          <w:sz w:val="16"/>
          <w:szCs w:val="16"/>
          <w:color w:val="auto"/>
        </w:rPr>
        <w:t>.</w:t>
      </w:r>
    </w:p>
    <w:p>
      <w:pPr>
        <w:spacing w:after="0" w:line="1" w:lineRule="exact"/>
        <w:rPr>
          <w:sz w:val="20"/>
          <w:szCs w:val="20"/>
          <w:color w:val="auto"/>
        </w:rPr>
      </w:pPr>
    </w:p>
    <w:p>
      <w:pPr>
        <w:ind w:right="140" w:firstLine="656"/>
        <w:spacing w:after="0" w:line="290" w:lineRule="auto"/>
        <w:tabs>
          <w:tab w:leader="none" w:pos="89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the terms and conditions of this Section 2.04, applicable Laws and stock exchange listing requirements, if PubCo commences an offering of Equity Securities or equity-linked securities that is a bona fide equity financing (an “</w:t>
      </w:r>
      <w:r>
        <w:rPr>
          <w:rFonts w:ascii="Arial" w:cs="Arial" w:eastAsia="Arial" w:hAnsi="Arial"/>
          <w:sz w:val="16"/>
          <w:szCs w:val="16"/>
          <w:b w:val="1"/>
          <w:bCs w:val="1"/>
          <w:color w:val="auto"/>
        </w:rPr>
        <w:t>Equity Financing</w:t>
      </w:r>
      <w:r>
        <w:rPr>
          <w:rFonts w:ascii="Arial" w:cs="Arial" w:eastAsia="Arial" w:hAnsi="Arial"/>
          <w:sz w:val="16"/>
          <w:szCs w:val="16"/>
          <w:color w:val="auto"/>
        </w:rPr>
        <w:t>”), PubCo agrees to use its best efforts, subject to the limitations set forth in this Section 2.04, to provide Ayar with an opportunity to participate as a purchaser in such offering or in a private placement substantially concurrent with such offering, on terms no less favorable to PubCo or Ayar than the terms applicable to other purchasers in such offering (as such terms may be approved by the Audit Committee of the Board (the “</w:t>
      </w:r>
      <w:r>
        <w:rPr>
          <w:rFonts w:ascii="Arial" w:cs="Arial" w:eastAsia="Arial" w:hAnsi="Arial"/>
          <w:sz w:val="16"/>
          <w:szCs w:val="16"/>
          <w:b w:val="1"/>
          <w:bCs w:val="1"/>
          <w:color w:val="auto"/>
        </w:rPr>
        <w:t>Audit Committee</w:t>
      </w:r>
      <w:r>
        <w:rPr>
          <w:rFonts w:ascii="Arial" w:cs="Arial" w:eastAsia="Arial" w:hAnsi="Arial"/>
          <w:sz w:val="16"/>
          <w:szCs w:val="16"/>
          <w:color w:val="auto"/>
        </w:rPr>
        <w:t>”) in its sole discretion), and in an amount that allows Ayar to maintain up to its pro rata ownership of Common Stock as of immediately prior to the commencement of the Equity Financing after giving effect to such Equity Financing. PubCo may require Ayar to enter into a customary lock-up or market standoff agreement in connection with Ayar’s participation in such Equity Financing on substantially the same terms as applied to the executive officers and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56" w:firstLine="656"/>
        <w:spacing w:after="0" w:line="284" w:lineRule="auto"/>
        <w:tabs>
          <w:tab w:leader="none" w:pos="2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understood and agreed that PubCo’s obligations to use its best efforts under Section 2.04(a) are limited to the obligations expressly set forth in this Section 2.04(b). PubCo shall give e-mail notice to Ayar (the “</w:t>
      </w:r>
      <w:r>
        <w:rPr>
          <w:rFonts w:ascii="Arial" w:cs="Arial" w:eastAsia="Arial" w:hAnsi="Arial"/>
          <w:sz w:val="16"/>
          <w:szCs w:val="16"/>
          <w:b w:val="1"/>
          <w:bCs w:val="1"/>
          <w:color w:val="auto"/>
        </w:rPr>
        <w:t>Equity Financing Notice</w:t>
      </w:r>
      <w:r>
        <w:rPr>
          <w:rFonts w:ascii="Arial" w:cs="Arial" w:eastAsia="Arial" w:hAnsi="Arial"/>
          <w:sz w:val="16"/>
          <w:szCs w:val="16"/>
          <w:color w:val="auto"/>
        </w:rPr>
        <w:t>”) no later than the earlier of (x) five (5) calendar days prior to the expected commencement date of such Equity Financing and (y) the date that notice is provided to any other potential investor in such Equity Financing, stating (i) its intention to commence an Equity Financing, which may be subject to conditions, (ii) the earliest contemplated commencement date of the Equity Financing, and (iii) a good faith estimate of the range of the expected terms of such financing as of the date of such Equity Financing Notice, which may be subject to change at any time without additional notice to Ayar except as expressly provided in this Section 2.04. When PubCo reasonably believes that the five (5) calendar days’ notice requirement cannot be complied with, PubCo shall be entitled to request that Ayar waive such requirement and if Ayar has not responded to such request within twenty-four (24) hours, it shall automatically be deemed to have waived the notice requirement. The Equity Financing Notice may require Ayar to provide PubCo with a final and irrevocable indication of interest no later than 24 hours prior to the beginning of marketing of any such Equity Financing. Any such required indication of interest may be conditioned on the closing of the Equity Financing, but may not be conditioned on any other final pricing terms. If such indication of interest is required and Ayar does not provide such indication of interest prior to the deadline specified in the Equity Financing Notice, which shall be no earlier than twenty-four (24) hours prior to the beginning of marketing of such Equity Financing, then Ayar shall be deemed to waive any right to participate as a purchaser in such Equity Financing or in a private placement substantially concurrent with such Equity Financing. If PubCo commences such Equity Offering, and Ayar has not waived its right to participate, then prior to the pricing of such Equity Financing, PubCo will notify Ayar by e-mail of the final terms of such Equity Financing, the final terms that the Audit Committee has authorized PubCo to offer to Ayar, and provide Ayar with final forms of any applicable purchase agreement, such notification to occur as soon as reasonably practicable following the determination of the Audit Committee described above. If Ayar wishes to participate as a purchaser in connection with such Equity Financing, PubCo will deliver the proposed form of applicable purchase agreement to Ayar as soon as reasonably practicable and Ayar acknowledges and agrees that it must execute and deliver any applicable purchase agreement no later than the time of pricing of such Equity Financing. Notices provided pursuant to this Section 2.04 shall be deemed received when sent. Nothing in this Section 2.04 shall require PubCo to delay the pricing of any proposed Equity Financing or modify the terms of any Equity Financing.</w:t>
      </w:r>
    </w:p>
    <w:p>
      <w:pPr>
        <w:spacing w:after="0" w:line="397" w:lineRule="exact"/>
        <w:rPr>
          <w:rFonts w:ascii="Arial" w:cs="Arial" w:eastAsia="Arial" w:hAnsi="Arial"/>
          <w:sz w:val="16"/>
          <w:szCs w:val="16"/>
          <w:color w:val="auto"/>
        </w:rPr>
      </w:pPr>
    </w:p>
    <w:p>
      <w:pPr>
        <w:ind w:left="-656" w:firstLine="656"/>
        <w:spacing w:after="0" w:line="257" w:lineRule="auto"/>
        <w:tabs>
          <w:tab w:leader="none" w:pos="2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Section 2.04 shall not be construed to create any obligation on the part of PubCo to issue and sell any securities to Ayar in connection with an Equity Financing. Any such obligation shall be governed by a separate agreement that may be entered into between Ayar and PubCo. After the pricing of any Equity Financing, PubCo’s obligations in this Section 2.04 with respect to such Equity Financing shall terminate, and it is expressly acknowledged and agreed that after such time, PubCo shall have no obligation to enter into any agreement with Ayar to issue or sell securities to Ayar in connection with such Equity Financing.</w:t>
      </w:r>
    </w:p>
    <w:p>
      <w:pPr>
        <w:spacing w:after="0" w:line="187" w:lineRule="exact"/>
        <w:rPr>
          <w:rFonts w:ascii="Arial" w:cs="Arial" w:eastAsia="Arial" w:hAnsi="Arial"/>
          <w:sz w:val="18"/>
          <w:szCs w:val="18"/>
          <w:color w:val="auto"/>
        </w:rPr>
      </w:pPr>
    </w:p>
    <w:p>
      <w:pPr>
        <w:ind w:left="-656" w:right="80" w:firstLine="656"/>
        <w:spacing w:after="0" w:line="289" w:lineRule="auto"/>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Section 2.04 shall not apply to, and any Equity Financing shall not include, any of the following: (1) the issuance by PubCo of shares of Common Stock upon the exercise, conversion, or settlement of any other security of PubCo that otherwise does not constitute an Equity Financing, including stock options, warrants (including PubCo’s private placement warrants), restricted stock units or PubCo’s 1.25% Convertible Senior Notes due 2026, (2) the issuance of compensatory equity awards to employees, officers, directors, advisors or consultants of PubCo, (3) any bond hedge and warrant transaction, capped call, equity forward, or other similar derivative instrument entered into in connection with an equity or equity-linked financing, (4) the sale or issuance of or entry into an agreement to sell or issue Common Stock or any securities convertible into or exercisable or exchangeable for Common Stock in connection with one or more mergers, acquisitions of securities, businesses, property or other assets, products or technologies, joint ventures, commercial relationships or other strategic corporate transactions or alliances not principally for the purpose of raising capital for the Company, (5) any offering governed by Article 2 of the Subscription Agreement, or (6) any offering governed by Section 5.07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6" w:name="page67"/>
    <w:bookmarkEnd w:id="66"/>
    <w:p>
      <w:pPr>
        <w:ind w:left="1400" w:hanging="744"/>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Section 2.04 shall automatically terminate after such time as Ayar ceases to own at least 40% of the outstanding Common Stock.</w:t>
      </w:r>
    </w:p>
    <w:p>
      <w:pPr>
        <w:spacing w:after="0" w:line="24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section 3.15 is added at the end of Article III, which 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3.15. Shelf Registration of Placement Shares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63" w:lineRule="auto"/>
        <w:tabs>
          <w:tab w:leader="none" w:pos="1387"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Section 3.1 Not Applicable</w:t>
      </w:r>
      <w:r>
        <w:rPr>
          <w:rFonts w:ascii="Arial" w:cs="Arial" w:eastAsia="Arial" w:hAnsi="Arial"/>
          <w:sz w:val="18"/>
          <w:szCs w:val="18"/>
          <w:color w:val="auto"/>
        </w:rPr>
        <w:t>. Section 3.1(a) of the Investor Rights Agreement shall not apply to the Placement Shares. Prior to the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Deadline (as defined below), Sections 3.1(b) through 3.1(d) and 3.2 through 3.14 of the Investor Rights Agreement shall not apply to the Placement Shares.</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Filing</w:t>
      </w:r>
      <w:r>
        <w:rPr>
          <w:rFonts w:ascii="Arial" w:cs="Arial" w:eastAsia="Arial" w:hAnsi="Arial"/>
          <w:sz w:val="16"/>
          <w:szCs w:val="16"/>
          <w:color w:val="auto"/>
        </w:rPr>
        <w:t>. PubCo shall use its commercially reasonable efforts to file and cause to become effective under the Securities Act within six</w:t>
      </w:r>
    </w:p>
    <w:p>
      <w:pPr>
        <w:spacing w:after="0" w:line="46" w:lineRule="exact"/>
        <w:rPr>
          <w:rFonts w:ascii="Arial" w:cs="Arial" w:eastAsia="Arial" w:hAnsi="Arial"/>
          <w:sz w:val="16"/>
          <w:szCs w:val="16"/>
          <w:color w:val="auto"/>
        </w:rPr>
      </w:pPr>
    </w:p>
    <w:p>
      <w:pPr>
        <w:ind w:firstLine="8"/>
        <w:spacing w:after="0" w:line="28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months from the end of the Term (or, if a New Subscription Agreement is entered into, within six (6) months from the end of the term under such New Subscription Agreement, collectively the “Shelf Registration Deadline”) a Shelf Registration Statement, or, if permitted, an amendment or a prospectus supplement to a Shelf Registration Statement then already filed, covering the resale on a delayed or continuous basis of all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expiration of the initial Shelf Registration Statement filed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3.15.</w:t>
      </w:r>
    </w:p>
    <w:p>
      <w:pPr>
        <w:spacing w:after="0" w:line="21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 xml:space="preserve">Sections 5.1, 5.3, 5.4, 5.5, 5.6, 5.7, 5.13 and 5.14 of the Agreement are hereby incorporated into this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Except as modified and amended herein, all other terms and provisions of the Agreement will not be amended and will remain in full force and effect.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660" w:top="908" w:right="95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AYAR THIRD INVESTMENT COMPANY</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660" w:top="908" w:right="95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INVESTOR RIGHTS AGREEMENT</w:t>
      </w:r>
    </w:p>
    <w:p>
      <w:pPr>
        <w:spacing w:after="0" w:line="225"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b w:val="1"/>
          <w:bCs w:val="1"/>
          <w:color w:val="auto"/>
        </w:rPr>
        <w:t>Amendment</w:t>
      </w:r>
      <w:r>
        <w:rPr>
          <w:rFonts w:ascii="Arial" w:cs="Arial" w:eastAsia="Arial" w:hAnsi="Arial"/>
          <w:sz w:val="16"/>
          <w:szCs w:val="16"/>
          <w:color w:val="auto"/>
        </w:rPr>
        <w:t>”), effective as of November 8, 2022, is made to that certain Investor Rights Agreement, dated as of February 22, 2021 (the “</w:t>
      </w:r>
      <w:r>
        <w:rPr>
          <w:rFonts w:ascii="Arial" w:cs="Arial" w:eastAsia="Arial" w:hAnsi="Arial"/>
          <w:sz w:val="16"/>
          <w:szCs w:val="16"/>
          <w:b w:val="1"/>
          <w:bCs w:val="1"/>
          <w:color w:val="auto"/>
        </w:rPr>
        <w:t>Agreement</w:t>
      </w:r>
      <w:r>
        <w:rPr>
          <w:rFonts w:ascii="Arial" w:cs="Arial" w:eastAsia="Arial" w:hAnsi="Arial"/>
          <w:sz w:val="16"/>
          <w:szCs w:val="16"/>
          <w:color w:val="auto"/>
        </w:rPr>
        <w:t>”), by and among (i) Churchill Capital Corp IV, a Delaware corporation (“</w:t>
      </w:r>
      <w:r>
        <w:rPr>
          <w:rFonts w:ascii="Arial" w:cs="Arial" w:eastAsia="Arial" w:hAnsi="Arial"/>
          <w:sz w:val="16"/>
          <w:szCs w:val="16"/>
          <w:b w:val="1"/>
          <w:bCs w:val="1"/>
          <w:color w:val="auto"/>
        </w:rPr>
        <w:t>PubCo</w:t>
      </w:r>
      <w:r>
        <w:rPr>
          <w:rFonts w:ascii="Arial" w:cs="Arial" w:eastAsia="Arial" w:hAnsi="Arial"/>
          <w:sz w:val="16"/>
          <w:szCs w:val="16"/>
          <w:color w:val="auto"/>
        </w:rPr>
        <w:t>”); (ii) Ayar Third Investment Company, a single shareholder limited liability company organized under the laws of the Kingdom of Saudi Arabia (“</w:t>
      </w:r>
      <w:r>
        <w:rPr>
          <w:rFonts w:ascii="Arial" w:cs="Arial" w:eastAsia="Arial" w:hAnsi="Arial"/>
          <w:sz w:val="16"/>
          <w:szCs w:val="16"/>
          <w:b w:val="1"/>
          <w:bCs w:val="1"/>
          <w:color w:val="auto"/>
        </w:rPr>
        <w:t>Ayar</w:t>
      </w:r>
      <w:r>
        <w:rPr>
          <w:rFonts w:ascii="Arial" w:cs="Arial" w:eastAsia="Arial" w:hAnsi="Arial"/>
          <w:sz w:val="16"/>
          <w:szCs w:val="16"/>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in connection with the Business Combination, PubCo changed its name to “Lucid Group, Inc.”</w:t>
      </w:r>
    </w:p>
    <w:p>
      <w:pPr>
        <w:spacing w:after="0" w:line="221"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WHEREAS, as of the date hereof, PubCo entered into that certain Subscription Agreement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Ayar, and it is a condition to the issuance and sale of the shares of Common Stock by PubCo to Ayar pursuant to the Subscription Agreement (such shares, the “</w:t>
      </w:r>
      <w:r>
        <w:rPr>
          <w:rFonts w:ascii="Arial" w:cs="Arial" w:eastAsia="Arial" w:hAnsi="Arial"/>
          <w:sz w:val="18"/>
          <w:szCs w:val="18"/>
          <w:b w:val="1"/>
          <w:bCs w:val="1"/>
          <w:color w:val="auto"/>
        </w:rPr>
        <w:t>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that the Agreement be amended as set forth in this Amendment;</w:t>
      </w:r>
    </w:p>
    <w:p>
      <w:pPr>
        <w:spacing w:after="0" w:line="18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Ayar holds more than fifty percent (50%) of the Registrable Securities Beneficially Owned by the Holders as of the date hereof.</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Ayar and PubCo amend the Agreement as set forth in this Amendment.</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146"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sentence is added to the end of section 2.3, which reads: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the avoidance of doubt and notwithstanding anything to the contrary in this Investor Rights Agreement, any Confidential Information shared between PubCo and Ayar is subject to any and all non-disclosure and confidentiality agreements executed between such Parties, including the Investor Non-Disclosure Agreement, dated as of September 9, 2021, by and between PubCo and Ayar, as it may be amended and/or restated from time to time.</w:t>
      </w:r>
    </w:p>
    <w:p>
      <w:pPr>
        <w:spacing w:after="0" w:line="149" w:lineRule="exact"/>
        <w:rPr>
          <w:sz w:val="20"/>
          <w:szCs w:val="20"/>
          <w:color w:val="auto"/>
        </w:rPr>
      </w:pPr>
    </w:p>
    <w:p>
      <w:pPr>
        <w:jc w:val="both"/>
        <w:ind w:left="660" w:right="6360" w:hanging="4"/>
        <w:spacing w:after="0" w:line="563" w:lineRule="auto"/>
        <w:tabs>
          <w:tab w:leader="none" w:pos="9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 new Section 2.04 is added at the end of Article II: Section 2.04. </w:t>
      </w:r>
      <w:r>
        <w:rPr>
          <w:rFonts w:ascii="Arial" w:cs="Arial" w:eastAsia="Arial" w:hAnsi="Arial"/>
          <w:sz w:val="16"/>
          <w:szCs w:val="16"/>
          <w:i w:val="1"/>
          <w:iCs w:val="1"/>
          <w:color w:val="auto"/>
        </w:rPr>
        <w:t>Participation in Future Equity Financings</w:t>
      </w:r>
      <w:r>
        <w:rPr>
          <w:rFonts w:ascii="Arial" w:cs="Arial" w:eastAsia="Arial" w:hAnsi="Arial"/>
          <w:sz w:val="16"/>
          <w:szCs w:val="16"/>
          <w:color w:val="auto"/>
        </w:rPr>
        <w:t>.</w:t>
      </w:r>
    </w:p>
    <w:p>
      <w:pPr>
        <w:spacing w:after="0" w:line="1" w:lineRule="exact"/>
        <w:rPr>
          <w:sz w:val="20"/>
          <w:szCs w:val="20"/>
          <w:color w:val="auto"/>
        </w:rPr>
      </w:pPr>
    </w:p>
    <w:p>
      <w:pPr>
        <w:ind w:firstLine="656"/>
        <w:spacing w:after="0" w:line="290" w:lineRule="auto"/>
        <w:tabs>
          <w:tab w:leader="none" w:pos="8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terms and conditions of this Section 2.04, applicable Laws and stock exchange listing requirements, if PubCo commences an offering of Equity Securities or equity-linked securities that is a bona fide equity financing (an “</w:t>
      </w:r>
      <w:r>
        <w:rPr>
          <w:rFonts w:ascii="Arial" w:cs="Arial" w:eastAsia="Arial" w:hAnsi="Arial"/>
          <w:sz w:val="16"/>
          <w:szCs w:val="16"/>
          <w:b w:val="1"/>
          <w:bCs w:val="1"/>
          <w:color w:val="auto"/>
        </w:rPr>
        <w:t>Equity Financing</w:t>
      </w:r>
      <w:r>
        <w:rPr>
          <w:rFonts w:ascii="Arial" w:cs="Arial" w:eastAsia="Arial" w:hAnsi="Arial"/>
          <w:sz w:val="16"/>
          <w:szCs w:val="16"/>
          <w:color w:val="auto"/>
        </w:rPr>
        <w:t>”), PubCo agrees to use its best efforts, subject to the limitations set forth in this Section 2.04, to provide Ayar with an opportunity to participate as a purchaser in such offering or in a private placement substantially concurrent with such offering, on terms no less favorable to PubCo or Ayar than the terms applicable to other purchasers in such offering (as such terms may be approved by the Audit Committee of the Board (the “</w:t>
      </w:r>
      <w:r>
        <w:rPr>
          <w:rFonts w:ascii="Arial" w:cs="Arial" w:eastAsia="Arial" w:hAnsi="Arial"/>
          <w:sz w:val="16"/>
          <w:szCs w:val="16"/>
          <w:b w:val="1"/>
          <w:bCs w:val="1"/>
          <w:color w:val="auto"/>
        </w:rPr>
        <w:t>Audit Committee</w:t>
      </w:r>
      <w:r>
        <w:rPr>
          <w:rFonts w:ascii="Arial" w:cs="Arial" w:eastAsia="Arial" w:hAnsi="Arial"/>
          <w:sz w:val="16"/>
          <w:szCs w:val="16"/>
          <w:color w:val="auto"/>
        </w:rPr>
        <w:t>”) in its sole discretion), and in an amount that allows Ayar to maintain up to its pro rata ownership of Common Stock as of immediately prior to the commencement of the Equity Financing after giving effect to such Equity Financing. PubCo may require Ayar to enter into a customary lock-up or market standoff agreement in connection with Ayar’s participation in such Equity Financing on substantially the same terms as applied to the executive officers and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71" w:name="page72"/>
    <w:bookmarkEnd w:id="71"/>
    <w:p>
      <w:pPr>
        <w:ind w:left="-656" w:firstLine="656"/>
        <w:spacing w:after="0" w:line="284" w:lineRule="auto"/>
        <w:tabs>
          <w:tab w:leader="none" w:pos="2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It is understood and agreed that PubCo’s obligations to use its best efforts under Section 2.04(a) are limited to the obligations expressly set forth in this Section 2.04(b). PubCo shall give e-mail notice to Ayar (the “</w:t>
      </w:r>
      <w:r>
        <w:rPr>
          <w:rFonts w:ascii="Arial" w:cs="Arial" w:eastAsia="Arial" w:hAnsi="Arial"/>
          <w:sz w:val="16"/>
          <w:szCs w:val="16"/>
          <w:b w:val="1"/>
          <w:bCs w:val="1"/>
          <w:color w:val="auto"/>
        </w:rPr>
        <w:t>Equity Financing Notice</w:t>
      </w:r>
      <w:r>
        <w:rPr>
          <w:rFonts w:ascii="Arial" w:cs="Arial" w:eastAsia="Arial" w:hAnsi="Arial"/>
          <w:sz w:val="16"/>
          <w:szCs w:val="16"/>
          <w:color w:val="auto"/>
        </w:rPr>
        <w:t>”) no later than the earlier of (x) five (5) calendar days prior to the expected commencement date of such Equity Financing and (y) the date that notice is provided to any other potential investor in such Equity Financing, stating (i) its intention to commence an Equity Financing, which may be subject to conditions, (ii) the earliest contemplated commencement date of the Equity Financing, and (iii) a good faith estimate of the range of the expected terms of such financing as of the date of such Equity Financing Notice, which may be subject to change at any time without additional notice to Ayar except as expressly provided in this Section 2.04. When PubCo reasonably believes that the five (5) calendar days’ notice requirement cannot be complied with, PubCo shall be entitled to request that Ayar waive such requirement and if Ayar has not responded to such request within twenty-four (24) hours, it shall automatically be deemed to have waived the notice requirement. The Equity Financing Notice may require Ayar to provide PubCo with a final and irrevocable indication of interest no later than 24 hours prior to the beginning of marketing of any such Equity Financing. Any such required indication of interest may be conditioned on the closing of the Equity Financing, but may not be conditioned on any other final pricing terms. If such indication of interest is required and Ayar does not provide such indication of interest prior to the deadline specified in the Equity Financing Notice, which shall be no earlier than twenty-four (24) hours prior to the beginning of marketing of such Equity Financing, then Ayar shall be deemed to waive any right to participate as a purchaser in such Equity Financing or in a private placement substantially concurrent with such Equity Financing. If PubCo commences such Equity Offering, and Ayar has not waived its right to participate, then prior to the pricing of such Equity Financing, PubCo will notify Ayar by e-mail of the final terms of such Equity Financing, the final terms that the Audit Committee has authorized PubCo to offer to Ayar, and provide Ayar with final forms of any applicable purchase agreement, such notification to occur as soon as reasonably practicable following the determination of the Audit Committee described above. If Ayar wishes to participate as a purchaser in connection with such Equity Financing, PubCo will deliver the proposed form of applicable purchase agreement to Ayar as soon as reasonably practicable and Ayar acknowledges and agrees that it must execute and deliver any applicable purchase agreement no later than the time of pricing of such Equity Financing. Notices provided pursuant to this Section 2.04 shall be deemed received when sent. Nothing in this Section 2.04 shall require PubCo to delay the pricing of any proposed Equity Financing or modify the terms of any Equity Financing.</w:t>
      </w:r>
    </w:p>
    <w:p>
      <w:pPr>
        <w:spacing w:after="0" w:line="397" w:lineRule="exact"/>
        <w:rPr>
          <w:rFonts w:ascii="Arial" w:cs="Arial" w:eastAsia="Arial" w:hAnsi="Arial"/>
          <w:sz w:val="16"/>
          <w:szCs w:val="16"/>
          <w:color w:val="auto"/>
        </w:rPr>
      </w:pPr>
    </w:p>
    <w:p>
      <w:pPr>
        <w:ind w:left="-656" w:firstLine="656"/>
        <w:spacing w:after="0" w:line="257" w:lineRule="auto"/>
        <w:tabs>
          <w:tab w:leader="none" w:pos="2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Section 2.04 shall not be construed to create any obligation on the part of PubCo to issue and sell any securities to Ayar in connection with an Equity Financing. Any such obligation shall be governed by a separate agreement that may be entered into between Ayar and PubCo. After the pricing of any Equity Financing, PubCo’s obligations in this Section 2.04 with respect to such Equity Financing shall terminate, and it is expressly acknowledged and agreed that after such time, PubCo shall have no obligation to enter into any agreement with Ayar to issue or sell securities to Ayar in connection with such Equity Financing.</w:t>
      </w:r>
    </w:p>
    <w:p>
      <w:pPr>
        <w:spacing w:after="0" w:line="187" w:lineRule="exact"/>
        <w:rPr>
          <w:rFonts w:ascii="Arial" w:cs="Arial" w:eastAsia="Arial" w:hAnsi="Arial"/>
          <w:sz w:val="18"/>
          <w:szCs w:val="18"/>
          <w:color w:val="auto"/>
        </w:rPr>
      </w:pPr>
    </w:p>
    <w:p>
      <w:pPr>
        <w:ind w:left="-656" w:right="80" w:firstLine="656"/>
        <w:spacing w:after="0" w:line="289" w:lineRule="auto"/>
        <w:tabs>
          <w:tab w:leader="none" w:pos="2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Section 2.04 shall not apply to, and any Equity Financing shall not include, any of the following: (1) the issuance by PubCo of shares of Common Stock upon the exercise, conversion, or settlement of any other security of PubCo that otherwise does not constitute an Equity Financing, including stock options, warrants (including PubCo’s private placement warrants), restricted stock units or PubCo’s 1.25% Convertible Senior Notes due 2026, (2) the issuance of compensatory equity awards to employees, officers, directors, advisors or consultants of PubCo, (3) any bond hedge and warrant transaction, capped call, equity forward, or other similar derivative instrument entered into in connection with an equity or equity-linked financing, (4) the sale or issuance of or entry into an agreement to sell or issue Common Stock or any securities convertible into or exercisable or exchangeable for Common Stock in connection with one or more mergers, acquisitions of securities, businesses, property or other assets, products or technologies, joint ventures, commercial relationships or other strategic corporate transactions or alliances not principally for the purpose of raising capital for the Company, (5) any offering governed by Article 2 of the Subscription Agreement, or (6) any offering governed by Section 5.07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2" w:name="page73"/>
    <w:bookmarkEnd w:id="72"/>
    <w:p>
      <w:pPr>
        <w:jc w:val="center"/>
        <w:ind w:right="60"/>
        <w:spacing w:after="0"/>
        <w:rPr>
          <w:sz w:val="20"/>
          <w:szCs w:val="20"/>
          <w:color w:val="auto"/>
        </w:rPr>
      </w:pPr>
      <w:r>
        <w:rPr>
          <w:rFonts w:ascii="Arial" w:cs="Arial" w:eastAsia="Arial" w:hAnsi="Arial"/>
          <w:sz w:val="18"/>
          <w:szCs w:val="18"/>
          <w:color w:val="auto"/>
        </w:rPr>
        <w:t>(e) This Section 2.04 shall automatically terminate after such time as Ayar ceases to own at least 40% of the outstanding Common Stock.</w:t>
      </w:r>
    </w:p>
    <w:p>
      <w:pPr>
        <w:spacing w:after="0" w:line="225"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new section 3.15 is added at the end of Article III, which 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3.15. Shelf Registration of Placement Shares</w:t>
      </w:r>
      <w:r>
        <w:rPr>
          <w:rFonts w:ascii="Arial" w:cs="Arial" w:eastAsia="Arial" w:hAnsi="Arial"/>
          <w:sz w:val="18"/>
          <w:szCs w:val="18"/>
          <w:color w:val="auto"/>
        </w:rPr>
        <w:t>.</w:t>
      </w:r>
    </w:p>
    <w:p>
      <w:pPr>
        <w:spacing w:after="0" w:line="225" w:lineRule="exact"/>
        <w:rPr>
          <w:sz w:val="20"/>
          <w:szCs w:val="20"/>
          <w:color w:val="auto"/>
        </w:rPr>
      </w:pPr>
    </w:p>
    <w:p>
      <w:pPr>
        <w:ind w:right="460" w:firstLine="656"/>
        <w:spacing w:after="0" w:line="263" w:lineRule="auto"/>
        <w:tabs>
          <w:tab w:leader="none" w:pos="89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Section 3.1 Not Applicable</w:t>
      </w:r>
      <w:r>
        <w:rPr>
          <w:rFonts w:ascii="Arial" w:cs="Arial" w:eastAsia="Arial" w:hAnsi="Arial"/>
          <w:sz w:val="18"/>
          <w:szCs w:val="18"/>
          <w:color w:val="auto"/>
        </w:rPr>
        <w:t>. Section 3.1(a) of the Investor Rights Agreement shall not apply to the Placement Shares. Prior to the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Deadline (as defined below), Sections 3.1(b) through 3.1(d) and 3.2 through 3.14 of the Investor Rights Agreement shall not apply to the Placement Shares.</w:t>
      </w:r>
    </w:p>
    <w:p>
      <w:pPr>
        <w:spacing w:after="0" w:line="183" w:lineRule="exact"/>
        <w:rPr>
          <w:rFonts w:ascii="Arial" w:cs="Arial" w:eastAsia="Arial" w:hAnsi="Arial"/>
          <w:sz w:val="18"/>
          <w:szCs w:val="18"/>
          <w:color w:val="auto"/>
        </w:rPr>
      </w:pPr>
    </w:p>
    <w:p>
      <w:pPr>
        <w:ind w:firstLine="656"/>
        <w:spacing w:after="0" w:line="283" w:lineRule="auto"/>
        <w:tabs>
          <w:tab w:leader="none" w:pos="90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Filing</w:t>
      </w:r>
      <w:r>
        <w:rPr>
          <w:rFonts w:ascii="Arial" w:cs="Arial" w:eastAsia="Arial" w:hAnsi="Arial"/>
          <w:sz w:val="16"/>
          <w:szCs w:val="16"/>
          <w:color w:val="auto"/>
        </w:rPr>
        <w:t>. PubCo shall use its commercially reasonable efforts to file and cause to become effective under the Securities Act within six (6) months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end of the Term (or, if a New Subscription Agreement is entered into, within six (6) months from the end of the term under such New Subscription Agreement, collectively the “Shelf Registration Deadline”) a Shelf Registration Statement, or, if permitted, an amendment or a prospectus supplement to a Shelf Registration Statement then already filed, covering the resale on a delayed or continuous basis of all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initial Shelf Registration Statement filed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3.15.</w:t>
      </w:r>
    </w:p>
    <w:p>
      <w:pPr>
        <w:spacing w:after="0" w:line="211"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 xml:space="preserve">Sections 5.1, 5.3, 5.4, 5.5, 5.6, 5.7, 5.13 and 5.14 of the Agreement are hereby incorporated into this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Except as modified and amended herein, all other terms and provisions of the Agreement will not be amended and will remain in full force and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434340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660" w:top="908" w:right="95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AYAR THIRD INVESTMENT COMPANY</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Yasir O. AlRumayyan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Yasir O. AlRumayyan</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434340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660" w:top="90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4"/>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upperLetter"/>
      <w:start w:val="3"/>
    </w:lvl>
  </w:abstractNum>
  <w:abstractNum w:abstractNumId="6">
    <w:nsid w:val="2901D82"/>
    <w:multiLevelType w:val="hybridMultilevel"/>
    <w:lvl w:ilvl="0">
      <w:lvlJc w:val="left"/>
      <w:lvlText w:val="(%1)"/>
      <w:numFmt w:val="upperLetter"/>
      <w:start w:val="2"/>
    </w:lvl>
  </w:abstractNum>
  <w:abstractNum w:abstractNumId="7">
    <w:nsid w:val="3A95F874"/>
    <w:multiLevelType w:val="hybridMultilevel"/>
    <w:lvl w:ilvl="0">
      <w:lvlJc w:val="left"/>
      <w:lvlText w:val="(%1)"/>
      <w:numFmt w:val="upperLetter"/>
      <w:start w:val="1"/>
    </w:lvl>
  </w:abstractNum>
  <w:abstractNum w:abstractNumId="8">
    <w:nsid w:val="8138641"/>
    <w:multiLevelType w:val="hybridMultilevel"/>
    <w:lvl w:ilvl="0">
      <w:lvlJc w:val="left"/>
      <w:lvlText w:val="(%1)"/>
      <w:numFmt w:val="upperLetter"/>
      <w:start w:val="2"/>
    </w:lvl>
  </w:abstractNum>
  <w:abstractNum w:abstractNumId="9">
    <w:nsid w:val="1E7FF521"/>
    <w:multiLevelType w:val="hybridMultilevel"/>
    <w:lvl w:ilvl="0">
      <w:lvlJc w:val="left"/>
      <w:lvlText w:val="(%1)"/>
      <w:numFmt w:val="lowerRoman"/>
      <w:start w:val="2"/>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Letter"/>
      <w:start w:val="21"/>
    </w:lvl>
  </w:abstractNum>
  <w:abstractNum w:abstractNumId="12">
    <w:nsid w:val="6CEAF087"/>
    <w:multiLevelType w:val="hybridMultilevel"/>
    <w:lvl w:ilvl="0">
      <w:lvlJc w:val="left"/>
      <w:lvlText w:val="(%1)"/>
      <w:numFmt w:val="lowerRoman"/>
      <w:start w:val="3"/>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3"/>
    </w:lvl>
  </w:abstractNum>
  <w:abstractNum w:abstractNumId="15">
    <w:nsid w:val="3006C83E"/>
    <w:multiLevelType w:val="hybridMultilevel"/>
    <w:lvl w:ilvl="0">
      <w:lvlJc w:val="left"/>
      <w:lvlText w:val="(%1)"/>
      <w:numFmt w:val="decimal"/>
      <w:start w:val="646"/>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Letter"/>
      <w:start w:val="4"/>
    </w:lvl>
  </w:abstractNum>
  <w:abstractNum w:abstractNumId="18">
    <w:nsid w:val="5577F8E1"/>
    <w:multiLevelType w:val="hybridMultilevel"/>
    <w:lvl w:ilvl="0">
      <w:lvlJc w:val="left"/>
      <w:lvlText w:val="(%1)"/>
      <w:numFmt w:val="lowerLetter"/>
      <w:start w:val="2"/>
    </w:lvl>
    <w:lvl w:ilvl="1">
      <w:lvlJc w:val="left"/>
      <w:lvlText w:val="(%2)"/>
      <w:numFmt w:val="lowerRoman"/>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2"/>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decimal"/>
      <w:start w:val="1"/>
    </w:lvl>
    <w:lvl w:ilvl="1">
      <w:lvlJc w:val="left"/>
      <w:lvlText w:val="(%2)"/>
      <w:numFmt w:val="lowerLetter"/>
      <w:start w:val="2"/>
    </w:lvl>
  </w:abstractNum>
  <w:abstractNum w:abstractNumId="25">
    <w:nsid w:val="2463B9EA"/>
    <w:multiLevelType w:val="hybridMultilevel"/>
    <w:lvl w:ilvl="0">
      <w:lvlJc w:val="left"/>
      <w:lvlText w:val="(%1)"/>
      <w:numFmt w:val="decimal"/>
      <w:start w:val="1"/>
    </w:lvl>
    <w:lvl w:ilvl="1">
      <w:lvlJc w:val="left"/>
      <w:lvlText w:val="%2"/>
      <w:numFmt w:val="lowerLetter"/>
      <w:start w:val="1"/>
    </w:lvl>
  </w:abstractNum>
  <w:abstractNum w:abstractNumId="26">
    <w:nsid w:val="5E884ADC"/>
    <w:multiLevelType w:val="hybridMultilevel"/>
    <w:lvl w:ilvl="0">
      <w:lvlJc w:val="left"/>
      <w:lvlText w:val="(%1)"/>
      <w:numFmt w:val="lowerLetter"/>
      <w:start w:val="3"/>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5"/>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 "/>
      <w:numFmt w:val="bullet"/>
      <w:start w:val="1"/>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5"/>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6"/>
    </w:lvl>
    <w:lvl w:ilvl="1">
      <w:lvlJc w:val="left"/>
      <w:lvlText w:val="%2"/>
      <w:numFmt w:val="lowerLetter"/>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3"/>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decimal"/>
      <w:start w:val="4"/>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5" Type="http://schemas.openxmlformats.org/officeDocument/2006/relationships/hyperlink" Target="https://www.sec.gov/Archives/edgar/data/1811210/000110465922095689/tm2222021-1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2022-11-08T16:51:18Z</dcterms:created>
  <dcterms:modified xsi:type="dcterms:W3CDTF">2022-11-08T16:51:18Z</dcterms:modified>
</cp:coreProperties>
</file>