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0"/>
        <w:spacing w:after="0"/>
        <w:rPr>
          <w:sz w:val="20"/>
          <w:szCs w:val="20"/>
          <w:color w:val="auto"/>
        </w:rPr>
      </w:pPr>
      <w:r>
        <w:rPr>
          <w:rFonts w:ascii="Calibri" w:cs="Calibri" w:eastAsia="Calibri" w:hAnsi="Calibri"/>
          <w:sz w:val="12"/>
          <w:szCs w:val="12"/>
          <w:color w:val="003366"/>
        </w:rPr>
        <w:t>TABLE OF CONTENTS</w:t>
      </w:r>
    </w:p>
    <w:p>
      <w:pPr>
        <w:spacing w:after="0" w:line="3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As filed with the Securities and Exchange Commission on April 14, 2026</w:t>
      </w:r>
    </w:p>
    <w:p>
      <w:pPr>
        <w:spacing w:after="0" w:line="20" w:lineRule="exact"/>
        <w:rPr>
          <w:sz w:val="24"/>
          <w:szCs w:val="24"/>
          <w:color w:val="auto"/>
        </w:rPr>
      </w:pPr>
    </w:p>
    <w:p>
      <w:pPr>
        <w:jc w:val="right"/>
        <w:ind w:right="579"/>
        <w:spacing w:after="0"/>
        <w:rPr>
          <w:sz w:val="20"/>
          <w:szCs w:val="20"/>
          <w:color w:val="auto"/>
        </w:rPr>
      </w:pPr>
      <w:r>
        <w:rPr>
          <w:rFonts w:ascii="Times New Roman" w:cs="Times New Roman" w:eastAsia="Times New Roman" w:hAnsi="Times New Roman"/>
          <w:sz w:val="13"/>
          <w:szCs w:val="13"/>
          <w:b w:val="1"/>
          <w:bCs w:val="1"/>
          <w:color w:val="auto"/>
        </w:rPr>
        <w:t>Registration No. 333-                ​</w:t>
      </w:r>
    </w:p>
    <w:p>
      <w:pPr>
        <w:spacing w:after="0" w:line="13"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3"/>
          <w:szCs w:val="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381000</wp:posOffset>
            </wp:positionH>
            <wp:positionV relativeFrom="paragraph">
              <wp:posOffset>1905</wp:posOffset>
            </wp:positionV>
            <wp:extent cx="4958715" cy="139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58715" cy="13970"/>
                    </a:xfrm>
                    <a:prstGeom prst="rect">
                      <a:avLst/>
                    </a:prstGeom>
                    <a:noFill/>
                  </pic:spPr>
                </pic:pic>
              </a:graphicData>
            </a:graphic>
          </wp:anchor>
        </w:drawing>
        <w:drawing>
          <wp:anchor simplePos="0" relativeHeight="251657728" behindDoc="1" locked="0" layoutInCell="0" allowOverlap="1">
            <wp:simplePos x="0" y="0"/>
            <wp:positionH relativeFrom="column">
              <wp:posOffset>381000</wp:posOffset>
            </wp:positionH>
            <wp:positionV relativeFrom="paragraph">
              <wp:posOffset>36195</wp:posOffset>
            </wp:positionV>
            <wp:extent cx="495871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58715" cy="6985"/>
                    </a:xfrm>
                    <a:prstGeom prst="rect">
                      <a:avLst/>
                    </a:prstGeom>
                    <a:noFill/>
                  </pic:spPr>
                </pic:pic>
              </a:graphicData>
            </a:graphic>
          </wp:anchor>
        </w:drawing>
      </w:r>
    </w:p>
    <w:p>
      <w:pPr>
        <w:spacing w:after="0" w:line="9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126365</wp:posOffset>
            </wp:positionV>
            <wp:extent cx="99060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90600" cy="6985"/>
                    </a:xfrm>
                    <a:prstGeom prst="rect">
                      <a:avLst/>
                    </a:prstGeom>
                    <a:noFill/>
                  </pic:spPr>
                </pic:pic>
              </a:graphicData>
            </a:graphic>
          </wp:anchor>
        </w:drawing>
      </w:r>
    </w:p>
    <w:p>
      <w:pPr>
        <w:spacing w:after="0" w:line="2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FORM S-3</w:t>
      </w:r>
    </w:p>
    <w:p>
      <w:pPr>
        <w:spacing w:after="0" w:line="20"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13"/>
          <w:szCs w:val="13"/>
          <w:b w:val="1"/>
          <w:bCs w:val="1"/>
          <w:color w:val="auto"/>
        </w:rPr>
        <w:t>REGISTRATION STATEMENT UNDER</w:t>
      </w:r>
    </w:p>
    <w:p>
      <w:pPr>
        <w:ind w:left="3580"/>
        <w:spacing w:after="0"/>
        <w:rPr>
          <w:sz w:val="20"/>
          <w:szCs w:val="20"/>
          <w:color w:val="auto"/>
        </w:rPr>
      </w:pPr>
      <w:r>
        <w:rPr>
          <w:rFonts w:ascii="Times New Roman" w:cs="Times New Roman" w:eastAsia="Times New Roman" w:hAnsi="Times New Roman"/>
          <w:sz w:val="13"/>
          <w:szCs w:val="13"/>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67945</wp:posOffset>
            </wp:positionV>
            <wp:extent cx="99060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90600" cy="6985"/>
                    </a:xfrm>
                    <a:prstGeom prst="rect">
                      <a:avLst/>
                    </a:prstGeom>
                    <a:noFill/>
                  </pic:spPr>
                </pic:pic>
              </a:graphicData>
            </a:graphic>
          </wp:anchor>
        </w:drawing>
      </w:r>
    </w:p>
    <w:p>
      <w:pPr>
        <w:spacing w:after="0" w:line="1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LUCID GROUP, INC.</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60960</wp:posOffset>
            </wp:positionV>
            <wp:extent cx="99060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90600" cy="6985"/>
                    </a:xfrm>
                    <a:prstGeom prst="rect">
                      <a:avLst/>
                    </a:prstGeom>
                    <a:noFill/>
                  </pic:spPr>
                </pic:pic>
              </a:graphicData>
            </a:graphic>
          </wp:anchor>
        </w:drawing>
      </w:r>
    </w:p>
    <w:p>
      <w:pPr>
        <w:spacing w:after="0" w:line="161" w:lineRule="exact"/>
        <w:rPr>
          <w:sz w:val="24"/>
          <w:szCs w:val="24"/>
          <w:color w:val="auto"/>
        </w:rPr>
      </w:pPr>
    </w:p>
    <w:tbl>
      <w:tblPr>
        <w:tblLayout w:type="fixed"/>
        <w:tblInd w:w="600" w:type="dxa"/>
        <w:tblCellMar>
          <w:top w:w="0" w:type="dxa"/>
          <w:left w:w="0" w:type="dxa"/>
          <w:bottom w:w="0" w:type="dxa"/>
          <w:right w:w="0" w:type="dxa"/>
        </w:tblCellMar>
      </w:tblPr>
      <w:tr>
        <w:trPr>
          <w:trHeight w:val="169"/>
        </w:trPr>
        <w:tc>
          <w:tcPr>
            <w:tcW w:w="6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2340" w:type="dxa"/>
            <w:vAlign w:val="bottom"/>
          </w:tcPr>
          <w:p>
            <w:pPr>
              <w:ind w:left="1060"/>
              <w:spacing w:after="0"/>
              <w:rPr>
                <w:sz w:val="20"/>
                <w:szCs w:val="20"/>
                <w:color w:val="auto"/>
              </w:rPr>
            </w:pPr>
            <w:r>
              <w:rPr>
                <w:rFonts w:ascii="Times New Roman" w:cs="Times New Roman" w:eastAsia="Times New Roman" w:hAnsi="Times New Roman"/>
                <w:sz w:val="13"/>
                <w:szCs w:val="13"/>
                <w:b w:val="1"/>
                <w:bCs w:val="1"/>
                <w:color w:val="auto"/>
              </w:rPr>
              <w:t>Delaware</w:t>
            </w:r>
          </w:p>
        </w:tc>
        <w:tc>
          <w:tcPr>
            <w:tcW w:w="2020" w:type="dxa"/>
            <w:vAlign w:val="bottom"/>
          </w:tcPr>
          <w:p>
            <w:pPr>
              <w:ind w:left="920"/>
              <w:spacing w:after="0"/>
              <w:rPr>
                <w:sz w:val="20"/>
                <w:szCs w:val="20"/>
                <w:color w:val="auto"/>
              </w:rPr>
            </w:pPr>
            <w:r>
              <w:rPr>
                <w:rFonts w:ascii="Times New Roman" w:cs="Times New Roman" w:eastAsia="Times New Roman" w:hAnsi="Times New Roman"/>
                <w:sz w:val="12"/>
                <w:szCs w:val="12"/>
                <w:color w:val="auto"/>
              </w:rPr>
              <w:t>​ ​</w:t>
            </w:r>
          </w:p>
        </w:tc>
        <w:tc>
          <w:tcPr>
            <w:tcW w:w="2160" w:type="dxa"/>
            <w:vAlign w:val="bottom"/>
          </w:tcPr>
          <w:p>
            <w:pPr>
              <w:jc w:val="right"/>
              <w:ind w:right="860"/>
              <w:spacing w:after="0"/>
              <w:rPr>
                <w:sz w:val="20"/>
                <w:szCs w:val="20"/>
                <w:color w:val="auto"/>
              </w:rPr>
            </w:pPr>
            <w:r>
              <w:rPr>
                <w:rFonts w:ascii="Times New Roman" w:cs="Times New Roman" w:eastAsia="Times New Roman" w:hAnsi="Times New Roman"/>
                <w:sz w:val="13"/>
                <w:szCs w:val="13"/>
                <w:b w:val="1"/>
                <w:bCs w:val="1"/>
                <w:color w:val="auto"/>
              </w:rPr>
              <w:t>85-0891392</w:t>
            </w:r>
          </w:p>
        </w:tc>
        <w:tc>
          <w:tcPr>
            <w:tcW w:w="700" w:type="dxa"/>
            <w:vAlign w:val="bottom"/>
          </w:tcPr>
          <w:p>
            <w:pPr>
              <w:ind w:left="680"/>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26"/>
        </w:trPr>
        <w:tc>
          <w:tcPr>
            <w:tcW w:w="600" w:type="dxa"/>
            <w:vAlign w:val="bottom"/>
          </w:tcPr>
          <w:p>
            <w:pPr>
              <w:spacing w:after="0"/>
              <w:rPr>
                <w:sz w:val="10"/>
                <w:szCs w:val="10"/>
                <w:color w:val="auto"/>
              </w:rPr>
            </w:pPr>
          </w:p>
        </w:tc>
        <w:tc>
          <w:tcPr>
            <w:tcW w:w="2340" w:type="dxa"/>
            <w:vAlign w:val="bottom"/>
          </w:tcPr>
          <w:p>
            <w:pPr>
              <w:ind w:left="580"/>
              <w:spacing w:after="0" w:line="126" w:lineRule="exact"/>
              <w:rPr>
                <w:sz w:val="20"/>
                <w:szCs w:val="20"/>
                <w:color w:val="auto"/>
              </w:rPr>
            </w:pPr>
            <w:r>
              <w:rPr>
                <w:rFonts w:ascii="Times New Roman" w:cs="Times New Roman" w:eastAsia="Times New Roman" w:hAnsi="Times New Roman"/>
                <w:sz w:val="12"/>
                <w:szCs w:val="12"/>
                <w:color w:val="auto"/>
              </w:rPr>
              <w:t>(State or other jurisdiction of</w:t>
            </w:r>
          </w:p>
        </w:tc>
        <w:tc>
          <w:tcPr>
            <w:tcW w:w="2020" w:type="dxa"/>
            <w:vAlign w:val="bottom"/>
          </w:tcPr>
          <w:p>
            <w:pPr>
              <w:spacing w:after="0"/>
              <w:rPr>
                <w:sz w:val="10"/>
                <w:szCs w:val="10"/>
                <w:color w:val="auto"/>
              </w:rPr>
            </w:pPr>
          </w:p>
        </w:tc>
        <w:tc>
          <w:tcPr>
            <w:tcW w:w="2160" w:type="dxa"/>
            <w:vAlign w:val="bottom"/>
          </w:tcPr>
          <w:p>
            <w:pPr>
              <w:jc w:val="center"/>
              <w:ind w:right="280"/>
              <w:spacing w:after="0" w:line="126" w:lineRule="exact"/>
              <w:rPr>
                <w:sz w:val="20"/>
                <w:szCs w:val="20"/>
                <w:color w:val="auto"/>
              </w:rPr>
            </w:pPr>
            <w:r>
              <w:rPr>
                <w:rFonts w:ascii="Times New Roman" w:cs="Times New Roman" w:eastAsia="Times New Roman" w:hAnsi="Times New Roman"/>
                <w:sz w:val="12"/>
                <w:szCs w:val="12"/>
                <w:color w:val="auto"/>
                <w:w w:val="99"/>
              </w:rPr>
              <w:t>(I.R.S. Employer</w:t>
            </w:r>
          </w:p>
        </w:tc>
        <w:tc>
          <w:tcPr>
            <w:tcW w:w="700" w:type="dxa"/>
            <w:vAlign w:val="bottom"/>
          </w:tcPr>
          <w:p>
            <w:pPr>
              <w:spacing w:after="0"/>
              <w:rPr>
                <w:sz w:val="10"/>
                <w:szCs w:val="10"/>
                <w:color w:val="auto"/>
              </w:rPr>
            </w:pPr>
          </w:p>
        </w:tc>
      </w:tr>
      <w:tr>
        <w:trPr>
          <w:trHeight w:val="168"/>
        </w:trPr>
        <w:tc>
          <w:tcPr>
            <w:tcW w:w="600" w:type="dxa"/>
            <w:vAlign w:val="bottom"/>
          </w:tcPr>
          <w:p>
            <w:pPr>
              <w:spacing w:after="0"/>
              <w:rPr>
                <w:sz w:val="14"/>
                <w:szCs w:val="14"/>
                <w:color w:val="auto"/>
              </w:rPr>
            </w:pPr>
          </w:p>
        </w:tc>
        <w:tc>
          <w:tcPr>
            <w:tcW w:w="2340" w:type="dxa"/>
            <w:vAlign w:val="bottom"/>
          </w:tcPr>
          <w:p>
            <w:pPr>
              <w:ind w:left="580"/>
              <w:spacing w:after="0"/>
              <w:rPr>
                <w:sz w:val="20"/>
                <w:szCs w:val="20"/>
                <w:color w:val="auto"/>
              </w:rPr>
            </w:pPr>
            <w:r>
              <w:rPr>
                <w:rFonts w:ascii="Times New Roman" w:cs="Times New Roman" w:eastAsia="Times New Roman" w:hAnsi="Times New Roman"/>
                <w:sz w:val="12"/>
                <w:szCs w:val="12"/>
                <w:color w:val="auto"/>
              </w:rPr>
              <w:t>incorporation or organization)​</w:t>
            </w:r>
          </w:p>
        </w:tc>
        <w:tc>
          <w:tcPr>
            <w:tcW w:w="2020" w:type="dxa"/>
            <w:vAlign w:val="bottom"/>
          </w:tcPr>
          <w:p>
            <w:pPr>
              <w:spacing w:after="0"/>
              <w:rPr>
                <w:sz w:val="14"/>
                <w:szCs w:val="14"/>
                <w:color w:val="auto"/>
              </w:rPr>
            </w:pPr>
          </w:p>
        </w:tc>
        <w:tc>
          <w:tcPr>
            <w:tcW w:w="2160" w:type="dxa"/>
            <w:vAlign w:val="bottom"/>
          </w:tcPr>
          <w:p>
            <w:pPr>
              <w:jc w:val="center"/>
              <w:ind w:right="260"/>
              <w:spacing w:after="0"/>
              <w:rPr>
                <w:sz w:val="20"/>
                <w:szCs w:val="20"/>
                <w:color w:val="auto"/>
              </w:rPr>
            </w:pPr>
            <w:r>
              <w:rPr>
                <w:rFonts w:ascii="Times New Roman" w:cs="Times New Roman" w:eastAsia="Times New Roman" w:hAnsi="Times New Roman"/>
                <w:sz w:val="12"/>
                <w:szCs w:val="12"/>
                <w:color w:val="auto"/>
              </w:rPr>
              <w:t>Identification Number)</w:t>
            </w:r>
          </w:p>
        </w:tc>
        <w:tc>
          <w:tcPr>
            <w:tcW w:w="700" w:type="dxa"/>
            <w:vAlign w:val="bottom"/>
          </w:tcPr>
          <w:p>
            <w:pPr>
              <w:spacing w:after="0"/>
              <w:rPr>
                <w:sz w:val="14"/>
                <w:szCs w:val="14"/>
                <w:color w:val="auto"/>
              </w:rPr>
            </w:pPr>
          </w:p>
        </w:tc>
      </w:tr>
      <w:tr>
        <w:trPr>
          <w:trHeight w:val="307"/>
        </w:trPr>
        <w:tc>
          <w:tcPr>
            <w:tcW w:w="6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02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4"/>
              </w:rPr>
              <w:t>7373 Gateway Blvd</w:t>
            </w:r>
          </w:p>
        </w:tc>
        <w:tc>
          <w:tcPr>
            <w:tcW w:w="21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41"/>
        </w:trPr>
        <w:tc>
          <w:tcPr>
            <w:tcW w:w="6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020" w:type="dxa"/>
            <w:vAlign w:val="bottom"/>
          </w:tcPr>
          <w:p>
            <w:pPr>
              <w:jc w:val="center"/>
              <w:ind w:right="57"/>
              <w:spacing w:after="0" w:line="141" w:lineRule="exact"/>
              <w:rPr>
                <w:sz w:val="20"/>
                <w:szCs w:val="20"/>
                <w:color w:val="auto"/>
              </w:rPr>
            </w:pPr>
            <w:r>
              <w:rPr>
                <w:rFonts w:ascii="Times New Roman" w:cs="Times New Roman" w:eastAsia="Times New Roman" w:hAnsi="Times New Roman"/>
                <w:sz w:val="13"/>
                <w:szCs w:val="13"/>
                <w:b w:val="1"/>
                <w:bCs w:val="1"/>
                <w:color w:val="auto"/>
                <w:w w:val="97"/>
              </w:rPr>
              <w:t>Newark, CA 94560</w:t>
            </w:r>
          </w:p>
        </w:tc>
        <w:tc>
          <w:tcPr>
            <w:tcW w:w="216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70"/>
        </w:trPr>
        <w:tc>
          <w:tcPr>
            <w:tcW w:w="6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02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5"/>
              </w:rPr>
              <w:t>Telephone: (510) 648-3553</w:t>
            </w:r>
          </w:p>
        </w:tc>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jc w:val="center"/>
        <w:ind w:right="19"/>
        <w:spacing w:after="0"/>
        <w:rPr>
          <w:sz w:val="20"/>
          <w:szCs w:val="20"/>
          <w:color w:val="auto"/>
        </w:rPr>
      </w:pPr>
      <w:r>
        <w:rPr>
          <w:rFonts w:ascii="Times New Roman" w:cs="Times New Roman" w:eastAsia="Times New Roman" w:hAnsi="Times New Roman"/>
          <w:sz w:val="12"/>
          <w:szCs w:val="12"/>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67310</wp:posOffset>
            </wp:positionV>
            <wp:extent cx="99060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90600" cy="6985"/>
                    </a:xfrm>
                    <a:prstGeom prst="rect">
                      <a:avLst/>
                    </a:prstGeom>
                    <a:noFill/>
                  </pic:spPr>
                </pic:pic>
              </a:graphicData>
            </a:graphic>
          </wp:anchor>
        </w:drawing>
      </w:r>
    </w:p>
    <w:p>
      <w:pPr>
        <w:spacing w:after="0" w:line="181"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3"/>
          <w:szCs w:val="13"/>
          <w:b w:val="1"/>
          <w:bCs w:val="1"/>
          <w:color w:val="auto"/>
        </w:rPr>
        <w:t>Marc Winterhoff</w:t>
      </w:r>
    </w:p>
    <w:p>
      <w:pPr>
        <w:spacing w:after="0" w:line="9"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3"/>
          <w:szCs w:val="13"/>
          <w:b w:val="1"/>
          <w:bCs w:val="1"/>
          <w:color w:val="auto"/>
        </w:rPr>
        <w:t>Interim Chief Executive Officer</w:t>
      </w:r>
    </w:p>
    <w:p>
      <w:pPr>
        <w:ind w:left="3980"/>
        <w:spacing w:after="0" w:line="226" w:lineRule="auto"/>
        <w:rPr>
          <w:sz w:val="20"/>
          <w:szCs w:val="20"/>
          <w:color w:val="auto"/>
        </w:rPr>
      </w:pPr>
      <w:r>
        <w:rPr>
          <w:rFonts w:ascii="Times New Roman" w:cs="Times New Roman" w:eastAsia="Times New Roman" w:hAnsi="Times New Roman"/>
          <w:sz w:val="13"/>
          <w:szCs w:val="13"/>
          <w:b w:val="1"/>
          <w:bCs w:val="1"/>
          <w:color w:val="auto"/>
        </w:rPr>
        <w:t>7373 Gateway Blvd</w:t>
      </w:r>
    </w:p>
    <w:p>
      <w:pPr>
        <w:ind w:left="3980"/>
        <w:spacing w:after="0"/>
        <w:rPr>
          <w:sz w:val="20"/>
          <w:szCs w:val="20"/>
          <w:color w:val="auto"/>
        </w:rPr>
      </w:pPr>
      <w:r>
        <w:rPr>
          <w:rFonts w:ascii="Times New Roman" w:cs="Times New Roman" w:eastAsia="Times New Roman" w:hAnsi="Times New Roman"/>
          <w:sz w:val="13"/>
          <w:szCs w:val="13"/>
          <w:b w:val="1"/>
          <w:bCs w:val="1"/>
          <w:color w:val="auto"/>
        </w:rPr>
        <w:t>Newark, CA 94560</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Telephone: (510) 648-3553</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67945</wp:posOffset>
            </wp:positionV>
            <wp:extent cx="99060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90600" cy="6985"/>
                    </a:xfrm>
                    <a:prstGeom prst="rect">
                      <a:avLst/>
                    </a:prstGeom>
                    <a:noFill/>
                  </pic:spPr>
                </pic:pic>
              </a:graphicData>
            </a:graphic>
          </wp:anchor>
        </w:drawing>
      </w:r>
    </w:p>
    <w:p>
      <w:pPr>
        <w:spacing w:after="0" w:line="182"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3"/>
          <w:szCs w:val="13"/>
          <w:b w:val="1"/>
          <w:bCs w:val="1"/>
          <w:color w:val="auto"/>
        </w:rPr>
        <w:t>Thomas J. Ivey</w:t>
      </w:r>
    </w:p>
    <w:p>
      <w:pPr>
        <w:spacing w:after="0" w:line="9"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3"/>
          <w:szCs w:val="13"/>
          <w:b w:val="1"/>
          <w:bCs w:val="1"/>
          <w:color w:val="auto"/>
        </w:rPr>
        <w:t>Brian D. Paulson</w:t>
      </w:r>
    </w:p>
    <w:p>
      <w:pPr>
        <w:jc w:val="center"/>
        <w:ind w:right="39"/>
        <w:spacing w:after="0" w:line="226" w:lineRule="auto"/>
        <w:rPr>
          <w:sz w:val="20"/>
          <w:szCs w:val="20"/>
          <w:color w:val="auto"/>
        </w:rPr>
      </w:pPr>
      <w:r>
        <w:rPr>
          <w:rFonts w:ascii="Times New Roman" w:cs="Times New Roman" w:eastAsia="Times New Roman" w:hAnsi="Times New Roman"/>
          <w:sz w:val="13"/>
          <w:szCs w:val="13"/>
          <w:b w:val="1"/>
          <w:bCs w:val="1"/>
          <w:color w:val="auto"/>
        </w:rPr>
        <w:t>Skadden, Arps, Slate, Meagher &amp; Flom LLP</w:t>
      </w: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525 University Avenue</w:t>
      </w:r>
    </w:p>
    <w:p>
      <w:pPr>
        <w:ind w:left="3940"/>
        <w:spacing w:after="0" w:line="229" w:lineRule="auto"/>
        <w:rPr>
          <w:sz w:val="20"/>
          <w:szCs w:val="20"/>
          <w:color w:val="auto"/>
        </w:rPr>
      </w:pPr>
      <w:r>
        <w:rPr>
          <w:rFonts w:ascii="Times New Roman" w:cs="Times New Roman" w:eastAsia="Times New Roman" w:hAnsi="Times New Roman"/>
          <w:sz w:val="13"/>
          <w:szCs w:val="13"/>
          <w:b w:val="1"/>
          <w:bCs w:val="1"/>
          <w:color w:val="auto"/>
        </w:rPr>
        <w:t>Palo Alto, CA 94301</w:t>
      </w:r>
    </w:p>
    <w:p>
      <w:pPr>
        <w:ind w:left="3800"/>
        <w:spacing w:after="0"/>
        <w:rPr>
          <w:sz w:val="20"/>
          <w:szCs w:val="20"/>
          <w:color w:val="auto"/>
        </w:rPr>
      </w:pPr>
      <w:r>
        <w:rPr>
          <w:rFonts w:ascii="Times New Roman" w:cs="Times New Roman" w:eastAsia="Times New Roman" w:hAnsi="Times New Roman"/>
          <w:sz w:val="13"/>
          <w:szCs w:val="13"/>
          <w:b w:val="1"/>
          <w:bCs w:val="1"/>
          <w:color w:val="auto"/>
        </w:rPr>
        <w:t>Telephone: (650) 470-4522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67945</wp:posOffset>
            </wp:positionV>
            <wp:extent cx="99060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90600" cy="6985"/>
                    </a:xfrm>
                    <a:prstGeom prst="rect">
                      <a:avLst/>
                    </a:prstGeom>
                    <a:noFill/>
                  </pic:spPr>
                </pic:pic>
              </a:graphicData>
            </a:graphic>
          </wp:anchor>
        </w:drawing>
      </w:r>
    </w:p>
    <w:p>
      <w:pPr>
        <w:spacing w:after="0" w:line="183" w:lineRule="exact"/>
        <w:rPr>
          <w:sz w:val="24"/>
          <w:szCs w:val="24"/>
          <w:color w:val="auto"/>
        </w:rPr>
      </w:pPr>
    </w:p>
    <w:p>
      <w:pPr>
        <w:ind w:left="880"/>
        <w:spacing w:after="0"/>
        <w:rPr>
          <w:sz w:val="20"/>
          <w:szCs w:val="20"/>
          <w:color w:val="auto"/>
        </w:rPr>
      </w:pPr>
      <w:r>
        <w:rPr>
          <w:rFonts w:ascii="Times New Roman" w:cs="Times New Roman" w:eastAsia="Times New Roman" w:hAnsi="Times New Roman"/>
          <w:sz w:val="13"/>
          <w:szCs w:val="13"/>
          <w:color w:val="auto"/>
        </w:rPr>
        <w:t xml:space="preserve">Approximate date of commencement of proposed sale to the public: </w:t>
      </w:r>
      <w:r>
        <w:rPr>
          <w:rFonts w:ascii="Times New Roman" w:cs="Times New Roman" w:eastAsia="Times New Roman" w:hAnsi="Times New Roman"/>
          <w:sz w:val="13"/>
          <w:szCs w:val="13"/>
          <w:b w:val="1"/>
          <w:bCs w:val="1"/>
          <w:color w:val="auto"/>
        </w:rPr>
        <w:t>From time to time after the effective date of this registration statement.</w:t>
      </w:r>
    </w:p>
    <w:p>
      <w:pPr>
        <w:spacing w:after="0" w:line="69" w:lineRule="exact"/>
        <w:rPr>
          <w:sz w:val="24"/>
          <w:szCs w:val="24"/>
          <w:color w:val="auto"/>
        </w:rPr>
      </w:pPr>
    </w:p>
    <w:p>
      <w:pPr>
        <w:ind w:left="600" w:right="639" w:firstLine="289"/>
        <w:spacing w:after="0" w:line="171" w:lineRule="exact"/>
        <w:rPr>
          <w:sz w:val="20"/>
          <w:szCs w:val="20"/>
          <w:color w:val="auto"/>
        </w:rPr>
      </w:pPr>
      <w:r>
        <w:rPr>
          <w:rFonts w:ascii="Times New Roman" w:cs="Times New Roman" w:eastAsia="Times New Roman" w:hAnsi="Times New Roman"/>
          <w:sz w:val="13"/>
          <w:szCs w:val="13"/>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3"/>
          <w:szCs w:val="13"/>
          <w:color w:val="auto"/>
        </w:rPr>
        <w:t>☐</w:t>
      </w:r>
    </w:p>
    <w:p>
      <w:pPr>
        <w:spacing w:after="0" w:line="27" w:lineRule="exact"/>
        <w:rPr>
          <w:sz w:val="24"/>
          <w:szCs w:val="24"/>
          <w:color w:val="auto"/>
        </w:rPr>
      </w:pPr>
    </w:p>
    <w:p>
      <w:pPr>
        <w:ind w:left="600" w:right="819" w:firstLine="289"/>
        <w:spacing w:after="0" w:line="165" w:lineRule="exact"/>
        <w:rPr>
          <w:sz w:val="20"/>
          <w:szCs w:val="20"/>
          <w:color w:val="auto"/>
        </w:rPr>
      </w:pPr>
      <w:r>
        <w:rPr>
          <w:rFonts w:ascii="Times New Roman" w:cs="Times New Roman" w:eastAsia="Times New Roman" w:hAnsi="Times New Roman"/>
          <w:sz w:val="13"/>
          <w:szCs w:val="13"/>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3"/>
          <w:szCs w:val="13"/>
          <w:color w:val="auto"/>
        </w:rPr>
        <w:t>☒</w:t>
      </w:r>
    </w:p>
    <w:p>
      <w:pPr>
        <w:spacing w:after="0" w:line="169" w:lineRule="exact"/>
        <w:rPr>
          <w:sz w:val="24"/>
          <w:szCs w:val="24"/>
          <w:color w:val="auto"/>
        </w:rPr>
      </w:pPr>
    </w:p>
    <w:p>
      <w:pPr>
        <w:ind w:left="600" w:right="719" w:firstLine="289"/>
        <w:spacing w:after="0" w:line="171" w:lineRule="exact"/>
        <w:rPr>
          <w:sz w:val="20"/>
          <w:szCs w:val="20"/>
          <w:color w:val="auto"/>
        </w:rPr>
      </w:pPr>
      <w:r>
        <w:rPr>
          <w:rFonts w:ascii="Times New Roman" w:cs="Times New Roman" w:eastAsia="Times New Roman" w:hAnsi="Times New Roman"/>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27" w:lineRule="exact"/>
        <w:rPr>
          <w:sz w:val="24"/>
          <w:szCs w:val="24"/>
          <w:color w:val="auto"/>
        </w:rPr>
      </w:pPr>
    </w:p>
    <w:p>
      <w:pPr>
        <w:ind w:left="600" w:right="819" w:firstLine="289"/>
        <w:spacing w:after="0" w:line="166"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27" w:lineRule="exact"/>
        <w:rPr>
          <w:sz w:val="24"/>
          <w:szCs w:val="24"/>
          <w:color w:val="auto"/>
        </w:rPr>
      </w:pPr>
    </w:p>
    <w:p>
      <w:pPr>
        <w:ind w:left="600" w:right="959" w:firstLine="289"/>
        <w:spacing w:after="0" w:line="166" w:lineRule="exact"/>
        <w:rPr>
          <w:sz w:val="20"/>
          <w:szCs w:val="20"/>
          <w:color w:val="auto"/>
        </w:rPr>
      </w:pPr>
      <w:r>
        <w:rPr>
          <w:rFonts w:ascii="Times New Roman" w:cs="Times New Roman" w:eastAsia="Times New Roman" w:hAnsi="Times New Roman"/>
          <w:sz w:val="13"/>
          <w:szCs w:val="13"/>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3"/>
          <w:szCs w:val="13"/>
          <w:color w:val="auto"/>
        </w:rPr>
        <w:t>☒</w:t>
      </w:r>
    </w:p>
    <w:p>
      <w:pPr>
        <w:spacing w:after="0" w:line="27" w:lineRule="exact"/>
        <w:rPr>
          <w:sz w:val="24"/>
          <w:szCs w:val="24"/>
          <w:color w:val="auto"/>
        </w:rPr>
      </w:pPr>
    </w:p>
    <w:p>
      <w:pPr>
        <w:ind w:left="600" w:right="639" w:firstLine="289"/>
        <w:spacing w:after="0" w:line="171"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3"/>
          <w:szCs w:val="13"/>
          <w:color w:val="auto"/>
        </w:rPr>
        <w:t>☐</w:t>
      </w:r>
    </w:p>
    <w:p>
      <w:pPr>
        <w:spacing w:after="0" w:line="27" w:lineRule="exact"/>
        <w:rPr>
          <w:sz w:val="24"/>
          <w:szCs w:val="24"/>
          <w:color w:val="auto"/>
        </w:rPr>
      </w:pPr>
    </w:p>
    <w:p>
      <w:pPr>
        <w:ind w:left="600" w:right="719" w:firstLine="289"/>
        <w:spacing w:after="0"/>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41" w:lineRule="exact"/>
        <w:rPr>
          <w:sz w:val="24"/>
          <w:szCs w:val="24"/>
          <w:color w:val="auto"/>
        </w:rPr>
      </w:pPr>
    </w:p>
    <w:tbl>
      <w:tblPr>
        <w:tblLayout w:type="fixed"/>
        <w:tblInd w:w="880" w:type="dxa"/>
        <w:tblCellMar>
          <w:top w:w="0" w:type="dxa"/>
          <w:left w:w="0" w:type="dxa"/>
          <w:bottom w:w="0" w:type="dxa"/>
          <w:right w:w="0" w:type="dxa"/>
        </w:tblCellMar>
      </w:tblPr>
      <w:tr>
        <w:trPr>
          <w:trHeight w:val="149"/>
        </w:trPr>
        <w:tc>
          <w:tcPr>
            <w:tcW w:w="13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vMerge w:val="restart"/>
          </w:tcPr>
          <w:p>
            <w:pPr>
              <w:ind w:left="100"/>
              <w:spacing w:after="0" w:line="131" w:lineRule="exact"/>
              <w:rPr>
                <w:sz w:val="20"/>
                <w:szCs w:val="20"/>
                <w:color w:val="auto"/>
              </w:rPr>
            </w:pPr>
            <w:r>
              <w:rPr>
                <w:rFonts w:ascii="MS PGothic" w:cs="MS PGothic" w:eastAsia="MS PGothic" w:hAnsi="MS PGothic"/>
                <w:sz w:val="13"/>
                <w:szCs w:val="13"/>
                <w:color w:val="auto"/>
              </w:rPr>
              <w:t>☒</w:t>
            </w:r>
          </w:p>
        </w:tc>
        <w:tc>
          <w:tcPr>
            <w:tcW w:w="1080" w:type="dxa"/>
            <w:vAlign w:val="bottom"/>
          </w:tcPr>
          <w:p>
            <w:pPr>
              <w:ind w:left="10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7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Accelerated filer</w:t>
            </w:r>
          </w:p>
        </w:tc>
        <w:tc>
          <w:tcPr>
            <w:tcW w:w="1080" w:type="dxa"/>
            <w:vAlign w:val="bottom"/>
            <w:vMerge w:val="restart"/>
          </w:tcPr>
          <w:p>
            <w:pPr>
              <w:ind w:left="220"/>
              <w:spacing w:after="0" w:line="131" w:lineRule="exact"/>
              <w:rPr>
                <w:sz w:val="20"/>
                <w:szCs w:val="20"/>
                <w:color w:val="auto"/>
              </w:rPr>
            </w:pPr>
            <w:r>
              <w:rPr>
                <w:rFonts w:ascii="MS PGothic" w:cs="MS PGothic" w:eastAsia="MS PGothic" w:hAnsi="MS PGothic"/>
                <w:sz w:val="13"/>
                <w:szCs w:val="13"/>
                <w:color w:val="auto"/>
              </w:rPr>
              <w:t>☐</w:t>
            </w:r>
          </w:p>
        </w:tc>
        <w:tc>
          <w:tcPr>
            <w:tcW w:w="800" w:type="dxa"/>
            <w:vAlign w:val="bottom"/>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
        </w:trPr>
        <w:tc>
          <w:tcPr>
            <w:tcW w:w="1300" w:type="dxa"/>
            <w:vAlign w:val="bottom"/>
          </w:tcPr>
          <w:p>
            <w:pPr>
              <w:spacing w:after="0"/>
              <w:rPr>
                <w:sz w:val="20"/>
                <w:szCs w:val="20"/>
                <w:color w:val="auto"/>
              </w:rPr>
            </w:pPr>
            <w:r>
              <w:rPr>
                <w:rFonts w:ascii="Times New Roman" w:cs="Times New Roman" w:eastAsia="Times New Roman" w:hAnsi="Times New Roman"/>
                <w:sz w:val="1"/>
                <w:szCs w:val="1"/>
                <w:color w:val="auto"/>
              </w:rPr>
              <w:t>Large accelerated filer</w:t>
            </w:r>
          </w:p>
        </w:tc>
        <w:tc>
          <w:tcPr>
            <w:tcW w:w="1220" w:type="dxa"/>
            <w:vAlign w:val="bottom"/>
            <w:vMerge w:val="continue"/>
          </w:tcPr>
          <w:p>
            <w:pPr>
              <w:spacing w:after="0" w:line="20" w:lineRule="exact"/>
              <w:rPr>
                <w:sz w:val="1"/>
                <w:szCs w:val="1"/>
                <w:color w:val="auto"/>
              </w:rPr>
            </w:pPr>
          </w:p>
        </w:tc>
        <w:tc>
          <w:tcPr>
            <w:tcW w:w="1080" w:type="dxa"/>
            <w:vAlign w:val="bottom"/>
            <w:vMerge w:val="restart"/>
          </w:tcPr>
          <w:p>
            <w:pPr>
              <w:ind w:left="1020"/>
              <w:spacing w:after="0" w:line="141"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vMerge w:val="restart"/>
          </w:tcPr>
          <w:p>
            <w:pPr>
              <w:ind w:left="20"/>
              <w:spacing w:after="0" w:line="141" w:lineRule="exact"/>
              <w:rPr>
                <w:sz w:val="20"/>
                <w:szCs w:val="20"/>
                <w:color w:val="auto"/>
              </w:rPr>
            </w:pPr>
            <w:r>
              <w:rPr>
                <w:rFonts w:ascii="Times New Roman" w:cs="Times New Roman" w:eastAsia="Times New Roman" w:hAnsi="Times New Roman"/>
                <w:sz w:val="13"/>
                <w:szCs w:val="13"/>
                <w:color w:val="auto"/>
              </w:rPr>
              <w:t>​</w:t>
            </w:r>
          </w:p>
        </w:tc>
        <w:tc>
          <w:tcPr>
            <w:tcW w:w="172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800" w:type="dxa"/>
            <w:vAlign w:val="bottom"/>
            <w:vMerge w:val="restart"/>
          </w:tcPr>
          <w:p>
            <w:pPr>
              <w:ind w:left="760"/>
              <w:spacing w:after="0" w:line="141"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line="20" w:lineRule="exact"/>
              <w:rPr>
                <w:sz w:val="1"/>
                <w:szCs w:val="1"/>
                <w:color w:val="auto"/>
              </w:rPr>
            </w:pPr>
          </w:p>
        </w:tc>
      </w:tr>
      <w:tr>
        <w:trPr>
          <w:trHeight w:val="130"/>
        </w:trPr>
        <w:tc>
          <w:tcPr>
            <w:tcW w:w="1300" w:type="dxa"/>
            <w:vAlign w:val="bottom"/>
          </w:tcPr>
          <w:p>
            <w:pPr>
              <w:spacing w:after="0" w:line="130" w:lineRule="exact"/>
              <w:rPr>
                <w:sz w:val="20"/>
                <w:szCs w:val="20"/>
                <w:color w:val="auto"/>
              </w:rPr>
            </w:pPr>
            <w:r>
              <w:rPr>
                <w:rFonts w:ascii="Times New Roman" w:cs="Times New Roman" w:eastAsia="Times New Roman" w:hAnsi="Times New Roman"/>
                <w:sz w:val="13"/>
                <w:szCs w:val="13"/>
                <w:color w:val="auto"/>
              </w:rPr>
              <w:t>​</w:t>
            </w:r>
          </w:p>
        </w:tc>
        <w:tc>
          <w:tcPr>
            <w:tcW w:w="1220" w:type="dxa"/>
            <w:vAlign w:val="bottom"/>
            <w:vMerge w:val="restart"/>
          </w:tcPr>
          <w:p>
            <w:pPr>
              <w:ind w:left="100"/>
              <w:spacing w:after="0" w:line="131" w:lineRule="exact"/>
              <w:rPr>
                <w:sz w:val="20"/>
                <w:szCs w:val="20"/>
                <w:color w:val="auto"/>
              </w:rPr>
            </w:pPr>
            <w:r>
              <w:rPr>
                <w:rFonts w:ascii="MS PGothic" w:cs="MS PGothic" w:eastAsia="MS PGothic" w:hAnsi="MS PGothic"/>
                <w:sz w:val="13"/>
                <w:szCs w:val="13"/>
                <w:color w:val="auto"/>
              </w:rPr>
              <w:t>☐</w:t>
            </w:r>
          </w:p>
        </w:tc>
        <w:tc>
          <w:tcPr>
            <w:tcW w:w="108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7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1080" w:type="dxa"/>
            <w:vAlign w:val="bottom"/>
            <w:vMerge w:val="restart"/>
          </w:tcPr>
          <w:p>
            <w:pPr>
              <w:ind w:left="220"/>
              <w:spacing w:after="0" w:line="131" w:lineRule="exact"/>
              <w:rPr>
                <w:sz w:val="20"/>
                <w:szCs w:val="20"/>
                <w:color w:val="auto"/>
              </w:rPr>
            </w:pPr>
            <w:r>
              <w:rPr>
                <w:rFonts w:ascii="MS PGothic" w:cs="MS PGothic" w:eastAsia="MS PGothic" w:hAnsi="MS PGothic"/>
                <w:sz w:val="13"/>
                <w:szCs w:val="13"/>
                <w:color w:val="auto"/>
              </w:rPr>
              <w:t>☐</w:t>
            </w: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5"/>
        </w:trPr>
        <w:tc>
          <w:tcPr>
            <w:tcW w:w="1300" w:type="dxa"/>
            <w:vAlign w:val="bottom"/>
          </w:tcPr>
          <w:p>
            <w:pPr>
              <w:spacing w:after="0" w:line="65" w:lineRule="exact"/>
              <w:rPr>
                <w:sz w:val="20"/>
                <w:szCs w:val="20"/>
                <w:color w:val="auto"/>
              </w:rPr>
            </w:pPr>
            <w:r>
              <w:rPr>
                <w:rFonts w:ascii="Times New Roman" w:cs="Times New Roman" w:eastAsia="Times New Roman" w:hAnsi="Times New Roman"/>
                <w:sz w:val="6"/>
                <w:szCs w:val="6"/>
                <w:color w:val="auto"/>
              </w:rPr>
              <w:t>Non-accelerated filer</w:t>
            </w:r>
          </w:p>
        </w:tc>
        <w:tc>
          <w:tcPr>
            <w:tcW w:w="122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2"/>
        </w:trPr>
        <w:tc>
          <w:tcPr>
            <w:tcW w:w="13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spacing w:after="0"/>
              <w:rPr>
                <w:sz w:val="24"/>
                <w:szCs w:val="24"/>
                <w:color w:val="auto"/>
              </w:rPr>
            </w:pPr>
          </w:p>
        </w:tc>
        <w:tc>
          <w:tcPr>
            <w:tcW w:w="2880" w:type="dxa"/>
            <w:vAlign w:val="bottom"/>
            <w:gridSpan w:val="3"/>
          </w:tcPr>
          <w:p>
            <w:pPr>
              <w:ind w:left="1020"/>
              <w:spacing w:after="0"/>
              <w:rPr>
                <w:sz w:val="20"/>
                <w:szCs w:val="20"/>
                <w:color w:val="auto"/>
              </w:rPr>
            </w:pP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rPr>
              <w:t xml:space="preserve"> Emerging growth company</w:t>
            </w:r>
          </w:p>
        </w:tc>
        <w:tc>
          <w:tcPr>
            <w:tcW w:w="1080" w:type="dxa"/>
            <w:vAlign w:val="bottom"/>
          </w:tcPr>
          <w:p>
            <w:pPr>
              <w:ind w:left="220"/>
              <w:spacing w:after="0" w:line="131" w:lineRule="exact"/>
              <w:rPr>
                <w:sz w:val="20"/>
                <w:szCs w:val="20"/>
                <w:color w:val="auto"/>
              </w:rPr>
            </w:pPr>
            <w:r>
              <w:rPr>
                <w:rFonts w:ascii="MS PGothic" w:cs="MS PGothic" w:eastAsia="MS PGothic" w:hAnsi="MS PGothic"/>
                <w:sz w:val="13"/>
                <w:szCs w:val="13"/>
                <w:color w:val="auto"/>
              </w:rPr>
              <w:t>☐</w:t>
            </w:r>
          </w:p>
        </w:tc>
        <w:tc>
          <w:tcPr>
            <w:tcW w:w="800" w:type="dxa"/>
            <w:vAlign w:val="bottom"/>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59" w:lineRule="exact"/>
        <w:rPr>
          <w:sz w:val="24"/>
          <w:szCs w:val="24"/>
          <w:color w:val="auto"/>
        </w:rPr>
      </w:pPr>
    </w:p>
    <w:p>
      <w:pPr>
        <w:ind w:left="600" w:right="1119" w:firstLine="289"/>
        <w:spacing w:after="0" w:line="166"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381000</wp:posOffset>
            </wp:positionH>
            <wp:positionV relativeFrom="paragraph">
              <wp:posOffset>51435</wp:posOffset>
            </wp:positionV>
            <wp:extent cx="495871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58715" cy="6985"/>
                    </a:xfrm>
                    <a:prstGeom prst="rect">
                      <a:avLst/>
                    </a:prstGeom>
                    <a:noFill/>
                  </pic:spPr>
                </pic:pic>
              </a:graphicData>
            </a:graphic>
          </wp:anchor>
        </w:drawing>
      </w:r>
    </w:p>
    <w:p>
      <w:pPr>
        <w:spacing w:after="0" w:line="77"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3"/>
          <w:szCs w:val="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381000</wp:posOffset>
            </wp:positionH>
            <wp:positionV relativeFrom="paragraph">
              <wp:posOffset>-3810</wp:posOffset>
            </wp:positionV>
            <wp:extent cx="4958715" cy="139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58715" cy="13970"/>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196215</wp:posOffset>
            </wp:positionV>
            <wp:extent cx="5479415" cy="393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79415" cy="39370"/>
                    </a:xfrm>
                    <a:prstGeom prst="rect">
                      <a:avLst/>
                    </a:prstGeom>
                    <a:noFill/>
                  </pic:spPr>
                </pic:pic>
              </a:graphicData>
            </a:graphic>
          </wp:anchor>
        </w:drawing>
      </w:r>
    </w:p>
    <w:p>
      <w:pPr>
        <w:sectPr>
          <w:pgSz w:w="11900" w:h="16838" w:orient="portrait"/>
          <w:cols w:equalWidth="0" w:num="1">
            <w:col w:w="9019"/>
          </w:cols>
          <w:pgMar w:left="1440" w:top="183" w:right="1440" w:bottom="1440" w:gutter="0" w:footer="0" w:header="0"/>
        </w:sectPr>
      </w:pPr>
    </w:p>
    <w:bookmarkStart w:id="1" w:name="page2"/>
    <w:bookmarkEnd w:id="1"/>
    <w:p>
      <w:pPr>
        <w:ind w:left="200"/>
        <w:spacing w:after="0"/>
        <w:rPr>
          <w:sz w:val="20"/>
          <w:szCs w:val="20"/>
          <w:color w:val="auto"/>
        </w:rPr>
      </w:pPr>
      <w:r>
        <w:rPr>
          <w:rFonts w:ascii="Calibri" w:cs="Calibri" w:eastAsia="Calibri" w:hAnsi="Calibri"/>
          <w:sz w:val="12"/>
          <w:szCs w:val="12"/>
          <w:color w:val="003366"/>
        </w:rPr>
        <w:t>TABLE OF CONTENTS</w:t>
      </w:r>
    </w:p>
    <w:p>
      <w:pPr>
        <w:spacing w:after="0" w:line="39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LUCID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1439545</wp:posOffset>
            </wp:positionH>
            <wp:positionV relativeFrom="paragraph">
              <wp:posOffset>139700</wp:posOffset>
            </wp:positionV>
            <wp:extent cx="2840355" cy="1854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40355" cy="185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2368550</wp:posOffset>
            </wp:positionH>
            <wp:positionV relativeFrom="paragraph">
              <wp:posOffset>149860</wp:posOffset>
            </wp:positionV>
            <wp:extent cx="990600"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90600" cy="6985"/>
                    </a:xfrm>
                    <a:prstGeom prst="rect">
                      <a:avLst/>
                    </a:prstGeom>
                    <a:noFill/>
                  </pic:spPr>
                </pic:pic>
              </a:graphicData>
            </a:graphic>
          </wp:anchor>
        </w:drawing>
      </w:r>
    </w:p>
    <w:p>
      <w:pPr>
        <w:spacing w:after="0" w:line="385" w:lineRule="exact"/>
        <w:rPr>
          <w:sz w:val="20"/>
          <w:szCs w:val="20"/>
          <w:color w:val="auto"/>
        </w:rPr>
      </w:pPr>
    </w:p>
    <w:p>
      <w:pPr>
        <w:ind w:left="1220" w:right="1339" w:firstLine="289"/>
        <w:spacing w:after="0" w:line="299" w:lineRule="auto"/>
        <w:rPr>
          <w:sz w:val="20"/>
          <w:szCs w:val="20"/>
          <w:color w:val="auto"/>
        </w:rPr>
      </w:pPr>
      <w:r>
        <w:rPr>
          <w:rFonts w:ascii="Times New Roman" w:cs="Times New Roman" w:eastAsia="Times New Roman" w:hAnsi="Times New Roman"/>
          <w:sz w:val="14"/>
          <w:szCs w:val="14"/>
          <w:color w:val="auto"/>
        </w:rPr>
        <w:t>We may offer, issue and sell shares of our common stock (such shares of common stock, the “securities”) from time to time in one or more offerings (the “offerings”) on a continuous or delayed basis.</w:t>
      </w:r>
    </w:p>
    <w:p>
      <w:pPr>
        <w:spacing w:after="0" w:line="54" w:lineRule="exact"/>
        <w:rPr>
          <w:sz w:val="20"/>
          <w:szCs w:val="20"/>
          <w:color w:val="auto"/>
        </w:rPr>
      </w:pPr>
    </w:p>
    <w:p>
      <w:pPr>
        <w:ind w:left="1220" w:right="1319" w:firstLine="289"/>
        <w:spacing w:after="0" w:line="268" w:lineRule="auto"/>
        <w:rPr>
          <w:sz w:val="20"/>
          <w:szCs w:val="20"/>
          <w:color w:val="auto"/>
        </w:rPr>
      </w:pPr>
      <w:r>
        <w:rPr>
          <w:rFonts w:ascii="Times New Roman" w:cs="Times New Roman" w:eastAsia="Times New Roman" w:hAnsi="Times New Roman"/>
          <w:sz w:val="14"/>
          <w:szCs w:val="14"/>
          <w:color w:val="auto"/>
        </w:rPr>
        <w:t>We will provide the specific prices of the securities in one or more supplements to this prospectus at the time of the applicable offering. You should read this prospectus and the accompanying prospectus supplement carefully before you make your investment decision. The prospectus supplement may also add, update or change information contained in this prospectus. You should read this prospectus and the applicable prospectus supplement carefully before you make your investment decision.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2368550</wp:posOffset>
            </wp:positionH>
            <wp:positionV relativeFrom="paragraph">
              <wp:posOffset>119380</wp:posOffset>
            </wp:positionV>
            <wp:extent cx="990600"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90600" cy="6985"/>
                    </a:xfrm>
                    <a:prstGeom prst="rect">
                      <a:avLst/>
                    </a:prstGeom>
                    <a:noFill/>
                  </pic:spPr>
                </pic:pic>
              </a:graphicData>
            </a:graphic>
          </wp:anchor>
        </w:drawing>
      </w:r>
    </w:p>
    <w:p>
      <w:pPr>
        <w:spacing w:after="0" w:line="33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This prospectus may not be used to sell securities unless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2368550</wp:posOffset>
            </wp:positionH>
            <wp:positionV relativeFrom="paragraph">
              <wp:posOffset>142240</wp:posOffset>
            </wp:positionV>
            <wp:extent cx="990600"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90600" cy="6985"/>
                    </a:xfrm>
                    <a:prstGeom prst="rect">
                      <a:avLst/>
                    </a:prstGeom>
                    <a:noFill/>
                  </pic:spPr>
                </pic:pic>
              </a:graphicData>
            </a:graphic>
          </wp:anchor>
        </w:drawing>
      </w:r>
    </w:p>
    <w:p>
      <w:pPr>
        <w:spacing w:after="0" w:line="371" w:lineRule="exact"/>
        <w:rPr>
          <w:sz w:val="20"/>
          <w:szCs w:val="20"/>
          <w:color w:val="auto"/>
        </w:rPr>
      </w:pPr>
    </w:p>
    <w:p>
      <w:pPr>
        <w:ind w:left="1220" w:right="1319" w:firstLine="289"/>
        <w:spacing w:after="0" w:line="302" w:lineRule="auto"/>
        <w:rPr>
          <w:sz w:val="20"/>
          <w:szCs w:val="20"/>
          <w:color w:val="auto"/>
        </w:rPr>
      </w:pPr>
      <w:r>
        <w:rPr>
          <w:rFonts w:ascii="Times New Roman" w:cs="Times New Roman" w:eastAsia="Times New Roman" w:hAnsi="Times New Roman"/>
          <w:sz w:val="14"/>
          <w:szCs w:val="14"/>
          <w:b w:val="1"/>
          <w:bCs w:val="1"/>
          <w:color w:val="auto"/>
        </w:rPr>
        <w:t xml:space="preserve">Investing in our securities involves a number of risks. See “Risk Factors” on page </w:t>
      </w:r>
      <w:r>
        <w:rPr>
          <w:rFonts w:ascii="Times New Roman" w:cs="Times New Roman" w:eastAsia="Times New Roman" w:hAnsi="Times New Roman"/>
          <w:sz w:val="14"/>
          <w:szCs w:val="14"/>
          <w:b w:val="1"/>
          <w:bCs w:val="1"/>
          <w:u w:val="single" w:color="auto"/>
          <w:color w:val="0000EE"/>
        </w:rPr>
        <w:t>7</w:t>
      </w:r>
      <w:r>
        <w:rPr>
          <w:rFonts w:ascii="Times New Roman" w:cs="Times New Roman" w:eastAsia="Times New Roman" w:hAnsi="Times New Roman"/>
          <w:sz w:val="14"/>
          <w:szCs w:val="14"/>
          <w:b w:val="1"/>
          <w:bCs w:val="1"/>
          <w:color w:val="auto"/>
        </w:rPr>
        <w:t xml:space="preserve"> before you make your investment decision.</w:t>
      </w:r>
    </w:p>
    <w:p>
      <w:pPr>
        <w:spacing w:after="0" w:line="63" w:lineRule="exact"/>
        <w:rPr>
          <w:sz w:val="20"/>
          <w:szCs w:val="20"/>
          <w:color w:val="auto"/>
        </w:rPr>
      </w:pPr>
    </w:p>
    <w:p>
      <w:pPr>
        <w:ind w:left="1220" w:right="1319" w:firstLine="289"/>
        <w:spacing w:after="0" w:line="272" w:lineRule="auto"/>
        <w:rPr>
          <w:sz w:val="20"/>
          <w:szCs w:val="20"/>
          <w:color w:val="auto"/>
        </w:rPr>
      </w:pPr>
      <w:r>
        <w:rPr>
          <w:rFonts w:ascii="Times New Roman" w:cs="Times New Roman" w:eastAsia="Times New Roman" w:hAnsi="Times New Roman"/>
          <w:sz w:val="14"/>
          <w:szCs w:val="14"/>
          <w:color w:val="auto"/>
        </w:rPr>
        <w:t>We may offer securities through underwriting syndicates managed or co-managed by one or more underwriters or dealers, through agents or directly to purchasers. If required, the prospectus supplement for each offering of securities will describe the plan of distribution for that offering. For general information about the distribution of securities offered, please see “Plan of Distribution” in this prospectus.</w:t>
      </w:r>
    </w:p>
    <w:p>
      <w:pPr>
        <w:spacing w:after="0" w:line="72" w:lineRule="exact"/>
        <w:rPr>
          <w:sz w:val="20"/>
          <w:szCs w:val="20"/>
          <w:color w:val="auto"/>
        </w:rPr>
      </w:pPr>
    </w:p>
    <w:p>
      <w:pPr>
        <w:ind w:left="1220" w:right="1459" w:firstLine="289"/>
        <w:spacing w:after="0" w:line="299" w:lineRule="auto"/>
        <w:rPr>
          <w:sz w:val="20"/>
          <w:szCs w:val="20"/>
          <w:color w:val="auto"/>
        </w:rPr>
      </w:pPr>
      <w:r>
        <w:rPr>
          <w:rFonts w:ascii="Times New Roman" w:cs="Times New Roman" w:eastAsia="Times New Roman" w:hAnsi="Times New Roman"/>
          <w:sz w:val="14"/>
          <w:szCs w:val="14"/>
          <w:color w:val="auto"/>
        </w:rPr>
        <w:t>Our common stock is listed on The Nasdaq Stock Market LLC (“Nasdaq”) under the trading symbol “LCID.”</w:t>
      </w:r>
    </w:p>
    <w:p>
      <w:pPr>
        <w:spacing w:after="0" w:line="63" w:lineRule="exact"/>
        <w:rPr>
          <w:sz w:val="20"/>
          <w:szCs w:val="20"/>
          <w:color w:val="auto"/>
        </w:rPr>
      </w:pPr>
    </w:p>
    <w:p>
      <w:pPr>
        <w:ind w:left="1220" w:right="1299" w:firstLine="289"/>
        <w:spacing w:after="0" w:line="280"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determined if this prospectus or any accompanying prospectus supplement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2368550</wp:posOffset>
            </wp:positionH>
            <wp:positionV relativeFrom="paragraph">
              <wp:posOffset>106680</wp:posOffset>
            </wp:positionV>
            <wp:extent cx="990600"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90600" cy="6985"/>
                    </a:xfrm>
                    <a:prstGeom prst="rect">
                      <a:avLst/>
                    </a:prstGeom>
                    <a:noFill/>
                  </pic:spPr>
                </pic:pic>
              </a:graphicData>
            </a:graphic>
          </wp:anchor>
        </w:drawing>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date of this prospectus is April 14,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2068830</wp:posOffset>
            </wp:positionV>
            <wp:extent cx="5479415" cy="393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479415"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2" w:name="page3"/>
    <w:bookmarkEnd w:id="2"/>
    <w:p>
      <w:pPr>
        <w:ind w:left="20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12" w:lineRule="exact"/>
        <w:rPr>
          <w:sz w:val="20"/>
          <w:szCs w:val="20"/>
          <w:color w:val="auto"/>
        </w:rPr>
      </w:pPr>
    </w:p>
    <w:p>
      <w:pPr>
        <w:jc w:val="both"/>
        <w:ind w:left="1220"/>
        <w:spacing w:after="0"/>
        <w:tabs>
          <w:tab w:leader="none" w:pos="7340" w:val="left"/>
        </w:tabs>
        <w:rPr>
          <w:sz w:val="20"/>
          <w:szCs w:val="20"/>
          <w:color w:val="auto"/>
        </w:rPr>
      </w:pPr>
      <w:r>
        <w:rPr>
          <w:rFonts w:ascii="Times New Roman" w:cs="Times New Roman" w:eastAsia="Times New Roman" w:hAnsi="Times New Roman"/>
          <w:sz w:val="12"/>
          <w:szCs w:val="12"/>
          <w:b w:val="1"/>
          <w:bCs w:val="1"/>
          <w:color w:val="auto"/>
        </w:rPr>
        <w:t>​</w:t>
      </w:r>
      <w:r>
        <w:rPr>
          <w:sz w:val="20"/>
          <w:szCs w:val="20"/>
          <w:color w:val="auto"/>
        </w:rPr>
        <w:tab/>
      </w:r>
      <w:r>
        <w:rPr>
          <w:rFonts w:ascii="Times New Roman" w:cs="Times New Roman" w:eastAsia="Times New Roman" w:hAnsi="Times New Roman"/>
          <w:sz w:val="12"/>
          <w:szCs w:val="12"/>
          <w:b w:val="1"/>
          <w:bCs w:val="1"/>
          <w:color w:val="auto"/>
        </w:rPr>
        <w:t xml:space="preserve">​ ​ </w:t>
      </w:r>
      <w:r>
        <w:rPr>
          <w:rFonts w:ascii="Times New Roman" w:cs="Times New Roman" w:eastAsia="Times New Roman" w:hAnsi="Times New Roman"/>
          <w:sz w:val="23"/>
          <w:szCs w:val="23"/>
          <w:b w:val="1"/>
          <w:bCs w:val="1"/>
          <w:color w:val="auto"/>
          <w:vertAlign w:val="superscript"/>
        </w:rPr>
        <w:t>Page</w:t>
      </w:r>
      <w:r>
        <w:rPr>
          <w:rFonts w:ascii="Times New Roman" w:cs="Times New Roman" w:eastAsia="Times New Roman" w:hAnsi="Times New Roman"/>
          <w:sz w:val="12"/>
          <w:szCs w:val="12"/>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772795</wp:posOffset>
            </wp:positionH>
            <wp:positionV relativeFrom="paragraph">
              <wp:posOffset>-27940</wp:posOffset>
            </wp:positionV>
            <wp:extent cx="4181475" cy="1377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181475" cy="137795"/>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p>
      <w:pPr>
        <w:ind w:left="1220"/>
        <w:spacing w:after="0"/>
        <w:rPr>
          <w:sz w:val="20"/>
          <w:szCs w:val="20"/>
          <w:color w:val="auto"/>
        </w:rPr>
      </w:pPr>
      <w:r>
        <w:rPr>
          <w:rFonts w:ascii="Times New Roman" w:cs="Times New Roman" w:eastAsia="Times New Roman" w:hAnsi="Times New Roman"/>
          <w:sz w:val="14"/>
          <w:szCs w:val="14"/>
          <w:u w:val="single" w:color="auto"/>
          <w:color w:val="0000EE"/>
        </w:rPr>
        <w:t>ABOUT THIS PROSPECTUS</w:t>
      </w:r>
    </w:p>
    <w:p>
      <w:pPr>
        <w:spacing w:after="0" w:line="2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u w:val="single" w:color="auto"/>
          <w:color w:val="0000EE"/>
        </w:rPr>
        <w:t>WHERE YOU CAN FIND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772795</wp:posOffset>
            </wp:positionH>
            <wp:positionV relativeFrom="paragraph">
              <wp:posOffset>17145</wp:posOffset>
            </wp:positionV>
            <wp:extent cx="4181475" cy="1308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181475" cy="130810"/>
                    </a:xfrm>
                    <a:prstGeom prst="rect">
                      <a:avLst/>
                    </a:prstGeom>
                    <a:noFill/>
                  </pic:spPr>
                </pic:pic>
              </a:graphicData>
            </a:graphic>
          </wp:anchor>
        </w:drawing>
      </w:r>
    </w:p>
    <w:p>
      <w:pPr>
        <w:spacing w:after="0" w:line="2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u w:val="single" w:color="auto"/>
          <w:color w:val="0000EE"/>
        </w:rPr>
        <w:t>FREQUENTLY USED TERMS</w:t>
      </w:r>
    </w:p>
    <w:p>
      <w:pPr>
        <w:spacing w:after="0" w:line="4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u w:val="single" w:color="auto"/>
          <w:color w:val="0000EE"/>
        </w:rPr>
        <w:t>CAUTIONARY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772795</wp:posOffset>
            </wp:positionH>
            <wp:positionV relativeFrom="paragraph">
              <wp:posOffset>17145</wp:posOffset>
            </wp:positionV>
            <wp:extent cx="4181475" cy="1377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181475" cy="137795"/>
                    </a:xfrm>
                    <a:prstGeom prst="rect">
                      <a:avLst/>
                    </a:prstGeom>
                    <a:noFill/>
                  </pic:spPr>
                </pic:pic>
              </a:graphicData>
            </a:graphic>
          </wp:anchor>
        </w:drawing>
      </w:r>
    </w:p>
    <w:p>
      <w:pPr>
        <w:spacing w:after="0" w:line="3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u w:val="single" w:color="auto"/>
          <w:color w:val="0000EE"/>
        </w:rPr>
        <w:t>THE COMPANY</w:t>
      </w:r>
    </w:p>
    <w:p>
      <w:pPr>
        <w:spacing w:after="0" w:line="5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u w:val="single" w:color="auto"/>
          <w:color w:val="0000EE"/>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772795</wp:posOffset>
            </wp:positionH>
            <wp:positionV relativeFrom="paragraph">
              <wp:posOffset>17145</wp:posOffset>
            </wp:positionV>
            <wp:extent cx="4181475" cy="1377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181475" cy="137795"/>
                    </a:xfrm>
                    <a:prstGeom prst="rect">
                      <a:avLst/>
                    </a:prstGeom>
                    <a:noFill/>
                  </pic:spPr>
                </pic:pic>
              </a:graphicData>
            </a:graphic>
          </wp:anchor>
        </w:drawing>
      </w:r>
    </w:p>
    <w:p>
      <w:pPr>
        <w:spacing w:after="0" w:line="3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u w:val="single" w:color="auto"/>
          <w:color w:val="0000EE"/>
        </w:rPr>
        <w:t>USE OF PROCEEDS</w:t>
      </w:r>
    </w:p>
    <w:p>
      <w:pPr>
        <w:spacing w:after="0" w:line="5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u w:val="single" w:color="auto"/>
          <w:color w:val="0000EE"/>
        </w:rPr>
        <w:t>U.S. FEDERAL INCOME TAX CONSIDERATIONS FOR NON-U.S.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772795</wp:posOffset>
            </wp:positionH>
            <wp:positionV relativeFrom="paragraph">
              <wp:posOffset>17145</wp:posOffset>
            </wp:positionV>
            <wp:extent cx="4181475" cy="1377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181475" cy="137795"/>
                    </a:xfrm>
                    <a:prstGeom prst="rect">
                      <a:avLst/>
                    </a:prstGeom>
                    <a:noFill/>
                  </pic:spPr>
                </pic:pic>
              </a:graphicData>
            </a:graphic>
          </wp:anchor>
        </w:drawing>
      </w:r>
    </w:p>
    <w:p>
      <w:pPr>
        <w:spacing w:after="0" w:line="3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u w:val="single" w:color="auto"/>
          <w:color w:val="0000EE"/>
        </w:rPr>
        <w:t>PLAN OF DISTRIBUTION</w:t>
      </w:r>
    </w:p>
    <w:p>
      <w:pPr>
        <w:spacing w:after="0" w:line="5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u w:val="single" w:color="auto"/>
          <w:color w:val="0000EE"/>
        </w:rPr>
        <w:t>LEGAL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772795</wp:posOffset>
            </wp:positionH>
            <wp:positionV relativeFrom="paragraph">
              <wp:posOffset>17145</wp:posOffset>
            </wp:positionV>
            <wp:extent cx="4181475" cy="1377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181475" cy="137795"/>
                    </a:xfrm>
                    <a:prstGeom prst="rect">
                      <a:avLst/>
                    </a:prstGeom>
                    <a:noFill/>
                  </pic:spPr>
                </pic:pic>
              </a:graphicData>
            </a:graphic>
          </wp:anchor>
        </w:drawing>
      </w:r>
    </w:p>
    <w:p>
      <w:pPr>
        <w:spacing w:after="0" w:line="3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u w:val="single" w:color="auto"/>
          <w:color w:val="0000EE"/>
        </w:rPr>
        <w:t>EXPERTS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7</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17</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17</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200" w:lineRule="exact"/>
        <w:rPr>
          <w:sz w:val="20"/>
          <w:szCs w:val="20"/>
          <w:color w:val="auto"/>
        </w:rPr>
      </w:pPr>
    </w:p>
    <w:p>
      <w:pPr>
        <w:sectPr>
          <w:pgSz w:w="11900" w:h="16838" w:orient="portrait"/>
          <w:cols w:equalWidth="0" w:num="2">
            <w:col w:w="6680" w:space="720"/>
            <w:col w:w="1619"/>
          </w:cols>
          <w:pgMar w:left="144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203835</wp:posOffset>
            </wp:positionV>
            <wp:extent cx="5479415" cy="393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479415"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type w:val="continuous"/>
        </w:sectPr>
      </w:pPr>
    </w:p>
    <w:bookmarkStart w:id="3" w:name="page4"/>
    <w:bookmarkEnd w:id="3"/>
    <w:p>
      <w:pPr>
        <w:ind w:left="20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33" w:lineRule="exact"/>
        <w:rPr>
          <w:sz w:val="20"/>
          <w:szCs w:val="20"/>
          <w:color w:val="auto"/>
        </w:rPr>
      </w:pPr>
    </w:p>
    <w:p>
      <w:pPr>
        <w:ind w:left="1220" w:right="1239" w:firstLine="289"/>
        <w:spacing w:after="0" w:line="263" w:lineRule="auto"/>
        <w:rPr>
          <w:sz w:val="20"/>
          <w:szCs w:val="20"/>
          <w:color w:val="auto"/>
        </w:rPr>
      </w:pPr>
      <w:r>
        <w:rPr>
          <w:rFonts w:ascii="Times New Roman" w:cs="Times New Roman" w:eastAsia="Times New Roman" w:hAnsi="Times New Roman"/>
          <w:sz w:val="14"/>
          <w:szCs w:val="14"/>
          <w:color w:val="auto"/>
        </w:rPr>
        <w:t>This prospectus is part of an “automatic shelf” registration statement that we filed with the Securities and Exchange Commission (the “SEC”) as a “well-known seasoned issuer” as defined in Rule 405 under the Securities Act of 1933, as amended (the “Securities Act”), using a “shelf” registration process. Under this process, we may sell the securities from time to time. Each time we sell securities, we will provide a supplement to this prospectus that contains specific information about the terms of that offering, including the specific amounts and prices of the securities offered. The prospectus supplement may also add, update or change information contained in this prospectus. You should carefully read both this prospectus, any accompanying prospectus supplement and any free writing prospectus prepared by or on behalf of us, together with the additional information described under the heading “Where You Can Find More Information.”</w:t>
      </w:r>
    </w:p>
    <w:p>
      <w:pPr>
        <w:spacing w:after="0" w:line="264" w:lineRule="exact"/>
        <w:rPr>
          <w:sz w:val="20"/>
          <w:szCs w:val="20"/>
          <w:color w:val="auto"/>
        </w:rPr>
      </w:pPr>
    </w:p>
    <w:p>
      <w:pPr>
        <w:ind w:left="1220" w:right="1339" w:firstLine="289"/>
        <w:spacing w:after="0" w:line="265" w:lineRule="auto"/>
        <w:rPr>
          <w:sz w:val="20"/>
          <w:szCs w:val="20"/>
          <w:color w:val="auto"/>
        </w:rPr>
      </w:pPr>
      <w:r>
        <w:rPr>
          <w:rFonts w:ascii="Times New Roman" w:cs="Times New Roman" w:eastAsia="Times New Roman" w:hAnsi="Times New Roman"/>
          <w:sz w:val="14"/>
          <w:szCs w:val="14"/>
          <w:color w:val="auto"/>
        </w:rPr>
        <w:t>We have not authorized anyone to provide you with any information other than that contained in or incorporated by reference into this prospectus, any accompanying prospectus supplement and any free writing prospectus prepared by or on behalf of us. We take no responsibility for, and can provide no assurance as to the reliability of, any other information that others may give you. We are not making offers to sell the securities in any jurisdiction in which an offer or solicitation is not authorized or in which the person making such offer or solicitation is not qualified to do so or to anyone to whom it is unlawful to make an offer or solicitation.</w:t>
      </w:r>
    </w:p>
    <w:p>
      <w:pPr>
        <w:spacing w:after="0" w:line="255" w:lineRule="exact"/>
        <w:rPr>
          <w:sz w:val="20"/>
          <w:szCs w:val="20"/>
          <w:color w:val="auto"/>
        </w:rPr>
      </w:pPr>
    </w:p>
    <w:p>
      <w:pPr>
        <w:ind w:left="1220" w:right="1319" w:firstLine="289"/>
        <w:spacing w:after="0" w:line="299" w:lineRule="auto"/>
        <w:rPr>
          <w:sz w:val="20"/>
          <w:szCs w:val="20"/>
          <w:color w:val="auto"/>
        </w:rPr>
      </w:pPr>
      <w:r>
        <w:rPr>
          <w:rFonts w:ascii="Times New Roman" w:cs="Times New Roman" w:eastAsia="Times New Roman" w:hAnsi="Times New Roman"/>
          <w:sz w:val="14"/>
          <w:szCs w:val="14"/>
          <w:color w:val="auto"/>
        </w:rPr>
        <w:t>The information in this prospectus is accurate as of the date on the front cover. You should not assume that the information contained in this prospectus is accurate as of any other date.</w:t>
      </w:r>
    </w:p>
    <w:p>
      <w:pPr>
        <w:spacing w:after="0" w:line="65" w:lineRule="exact"/>
        <w:rPr>
          <w:sz w:val="20"/>
          <w:szCs w:val="20"/>
          <w:color w:val="auto"/>
        </w:rPr>
      </w:pPr>
    </w:p>
    <w:p>
      <w:pPr>
        <w:jc w:val="both"/>
        <w:ind w:left="1220" w:right="1339" w:firstLine="289"/>
        <w:spacing w:after="0" w:line="299" w:lineRule="auto"/>
        <w:rPr>
          <w:sz w:val="20"/>
          <w:szCs w:val="20"/>
          <w:color w:val="auto"/>
        </w:rPr>
      </w:pPr>
      <w:r>
        <w:rPr>
          <w:rFonts w:ascii="Times New Roman" w:cs="Times New Roman" w:eastAsia="Times New Roman" w:hAnsi="Times New Roman"/>
          <w:sz w:val="14"/>
          <w:szCs w:val="14"/>
          <w:color w:val="auto"/>
        </w:rPr>
        <w:t>When used in this prospectus, the terms “Lucid,” the “Company,” “we,” “our” and “us” refer to Lucid Group, Inc. and its consolidated subsidiaries, unless otherwise specified or the context otherwise requires.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33" w:lineRule="exact"/>
        <w:rPr>
          <w:sz w:val="20"/>
          <w:szCs w:val="20"/>
          <w:color w:val="auto"/>
        </w:rPr>
      </w:pPr>
    </w:p>
    <w:p>
      <w:pPr>
        <w:ind w:left="1220" w:right="1519" w:firstLine="289"/>
        <w:spacing w:after="0" w:line="278" w:lineRule="auto"/>
        <w:rPr>
          <w:sz w:val="20"/>
          <w:szCs w:val="20"/>
          <w:color w:val="auto"/>
        </w:rPr>
      </w:pPr>
      <w:r>
        <w:rPr>
          <w:rFonts w:ascii="Times New Roman" w:cs="Times New Roman" w:eastAsia="Times New Roman" w:hAnsi="Times New Roman"/>
          <w:sz w:val="14"/>
          <w:szCs w:val="14"/>
          <w:color w:val="auto"/>
        </w:rPr>
        <w:t>We file annual, quarterly and current reports, proxy statements and other information with the SEC under the Securities Exchange Act of 1934, as amended (the “Exchange Act”). Our SEC filings are available to the public at the SEC’s website at www.sec.gov.</w:t>
      </w:r>
    </w:p>
    <w:p>
      <w:pPr>
        <w:spacing w:after="0" w:line="69" w:lineRule="exact"/>
        <w:rPr>
          <w:sz w:val="20"/>
          <w:szCs w:val="20"/>
          <w:color w:val="auto"/>
        </w:rPr>
      </w:pPr>
    </w:p>
    <w:p>
      <w:pPr>
        <w:ind w:left="1220" w:right="1259" w:firstLine="289"/>
        <w:spacing w:after="0" w:line="263" w:lineRule="auto"/>
        <w:rPr>
          <w:sz w:val="20"/>
          <w:szCs w:val="20"/>
          <w:color w:val="auto"/>
        </w:rPr>
      </w:pPr>
      <w:r>
        <w:rPr>
          <w:rFonts w:ascii="Times New Roman" w:cs="Times New Roman" w:eastAsia="Times New Roman" w:hAnsi="Times New Roman"/>
          <w:sz w:val="14"/>
          <w:szCs w:val="14"/>
          <w:color w:val="auto"/>
        </w:rPr>
        <w:t>The SEC allows us to “incorporate by reference” information into this prospectus and any accompanying prospectus supplement, which means that we can disclose important information to you by referring you to another document filed separately with the SEC. The information incorporated by reference is deemed to be part of this prospectus and any accompanying prospectus supplement, except for any information superseded by information contained directly in this prospectus, any accompanying prospectus supplement, any subsequently filed document deemed incorporated by reference or any free writing prospectus prepared by or on behalf of us. This prospectus and any accompanying prospectus supplement incorporate by reference the documents set forth below that we have previously filed with the SEC (other than information deemed furnished and not filed in accordance with SEC rules, including Items 2.02 and 7.01 of Form 8-K).</w:t>
      </w:r>
    </w:p>
    <w:p>
      <w:pPr>
        <w:spacing w:after="0" w:line="232" w:lineRule="exact"/>
        <w:rPr>
          <w:sz w:val="20"/>
          <w:szCs w:val="20"/>
          <w:color w:val="auto"/>
        </w:rPr>
      </w:pPr>
    </w:p>
    <w:p>
      <w:pPr>
        <w:ind w:left="1640" w:right="1559" w:hanging="140"/>
        <w:spacing w:after="0" w:line="299" w:lineRule="auto"/>
        <w:tabs>
          <w:tab w:leader="none" w:pos="1640" w:val="left"/>
        </w:tabs>
        <w:numPr>
          <w:ilvl w:val="0"/>
          <w:numId w:val="1"/>
        </w:numPr>
        <w:rPr>
          <w:rFonts w:ascii="Times New Roman" w:cs="Times New Roman" w:eastAsia="Times New Roman" w:hAnsi="Times New Roman"/>
          <w:sz w:val="14"/>
          <w:szCs w:val="14"/>
          <w:color w:val="0000EE"/>
        </w:rPr>
      </w:pPr>
      <w:hyperlink r:id="rId32">
        <w:r>
          <w:rPr>
            <w:rFonts w:ascii="Times New Roman" w:cs="Times New Roman" w:eastAsia="Times New Roman" w:hAnsi="Times New Roman"/>
            <w:sz w:val="14"/>
            <w:szCs w:val="14"/>
            <w:color w:val="auto"/>
          </w:rPr>
          <w:t xml:space="preserve">Our </w:t>
        </w:r>
        <w:r>
          <w:rPr>
            <w:rFonts w:ascii="Times New Roman" w:cs="Times New Roman" w:eastAsia="Times New Roman" w:hAnsi="Times New Roman"/>
            <w:sz w:val="14"/>
            <w:szCs w:val="14"/>
            <w:u w:val="single" w:color="auto"/>
            <w:color w:val="0000EE"/>
          </w:rPr>
          <w:t>Annual Report on Form 10-K for the year ended December 31, 2025, filed with the SEC on</w:t>
        </w:r>
      </w:hyperlink>
      <w:r>
        <w:rPr>
          <w:rFonts w:ascii="Times New Roman" w:cs="Times New Roman" w:eastAsia="Times New Roman" w:hAnsi="Times New Roman"/>
          <w:sz w:val="14"/>
          <w:szCs w:val="14"/>
          <w:color w:val="auto"/>
        </w:rPr>
        <w:t xml:space="preserve"> </w:t>
      </w:r>
      <w:hyperlink r:id="rId32">
        <w:r>
          <w:rPr>
            <w:rFonts w:ascii="Times New Roman" w:cs="Times New Roman" w:eastAsia="Times New Roman" w:hAnsi="Times New Roman"/>
            <w:sz w:val="14"/>
            <w:szCs w:val="14"/>
            <w:u w:val="single" w:color="auto"/>
            <w:color w:val="0000EE"/>
          </w:rPr>
          <w:t>February 24, 2026</w:t>
        </w:r>
        <w:r>
          <w:rPr>
            <w:rFonts w:ascii="Times New Roman" w:cs="Times New Roman" w:eastAsia="Times New Roman" w:hAnsi="Times New Roman"/>
            <w:sz w:val="14"/>
            <w:szCs w:val="14"/>
            <w:color w:val="000000"/>
          </w:rPr>
          <w:t>;</w:t>
        </w:r>
      </w:hyperlink>
    </w:p>
    <w:p>
      <w:pPr>
        <w:spacing w:after="0" w:line="32" w:lineRule="exact"/>
        <w:rPr>
          <w:rFonts w:ascii="Times New Roman" w:cs="Times New Roman" w:eastAsia="Times New Roman" w:hAnsi="Times New Roman"/>
          <w:sz w:val="14"/>
          <w:szCs w:val="14"/>
          <w:color w:val="0000EE"/>
        </w:rPr>
      </w:pPr>
    </w:p>
    <w:p>
      <w:pPr>
        <w:ind w:left="1640" w:right="1219" w:hanging="140"/>
        <w:spacing w:after="0" w:line="278" w:lineRule="auto"/>
        <w:tabs>
          <w:tab w:leader="none" w:pos="1640" w:val="left"/>
        </w:tabs>
        <w:numPr>
          <w:ilvl w:val="0"/>
          <w:numId w:val="1"/>
        </w:numPr>
        <w:rPr>
          <w:rFonts w:ascii="Times New Roman" w:cs="Times New Roman" w:eastAsia="Times New Roman" w:hAnsi="Times New Roman"/>
          <w:sz w:val="14"/>
          <w:szCs w:val="14"/>
          <w:color w:val="0000EE"/>
        </w:rPr>
      </w:pPr>
      <w:hyperlink r:id="rId33">
        <w:r>
          <w:rPr>
            <w:rFonts w:ascii="Times New Roman" w:cs="Times New Roman" w:eastAsia="Times New Roman" w:hAnsi="Times New Roman"/>
            <w:sz w:val="14"/>
            <w:szCs w:val="14"/>
            <w:color w:val="auto"/>
          </w:rPr>
          <w:t xml:space="preserve">Information specifically incorporated by reference into our </w:t>
        </w:r>
        <w:r>
          <w:rPr>
            <w:rFonts w:ascii="Times New Roman" w:cs="Times New Roman" w:eastAsia="Times New Roman" w:hAnsi="Times New Roman"/>
            <w:sz w:val="14"/>
            <w:szCs w:val="14"/>
            <w:u w:val="single" w:color="auto"/>
            <w:color w:val="0000EE"/>
          </w:rPr>
          <w:t>Annual Report on Form 10-K for the</w:t>
        </w:r>
      </w:hyperlink>
      <w:r>
        <w:rPr>
          <w:rFonts w:ascii="Times New Roman" w:cs="Times New Roman" w:eastAsia="Times New Roman" w:hAnsi="Times New Roman"/>
          <w:sz w:val="14"/>
          <w:szCs w:val="14"/>
          <w:color w:val="auto"/>
        </w:rPr>
        <w:t xml:space="preserve"> </w:t>
      </w:r>
      <w:hyperlink r:id="rId34">
        <w:r>
          <w:rPr>
            <w:rFonts w:ascii="Times New Roman" w:cs="Times New Roman" w:eastAsia="Times New Roman" w:hAnsi="Times New Roman"/>
            <w:sz w:val="14"/>
            <w:szCs w:val="14"/>
            <w:u w:val="single" w:color="auto"/>
            <w:color w:val="0000EE"/>
          </w:rPr>
          <w:t>fiscal year ended December 31, 2024</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from our</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u w:val="single" w:color="auto"/>
            <w:color w:val="0000EE"/>
          </w:rPr>
          <w:t>definitive proxy statement on Schedule 14A filed with</w:t>
        </w:r>
      </w:hyperlink>
      <w:r>
        <w:rPr>
          <w:rFonts w:ascii="Times New Roman" w:cs="Times New Roman" w:eastAsia="Times New Roman" w:hAnsi="Times New Roman"/>
          <w:sz w:val="14"/>
          <w:szCs w:val="14"/>
          <w:color w:val="0000EE"/>
        </w:rPr>
        <w:t xml:space="preserve"> </w:t>
      </w:r>
      <w:hyperlink r:id="rId34">
        <w:r>
          <w:rPr>
            <w:rFonts w:ascii="Times New Roman" w:cs="Times New Roman" w:eastAsia="Times New Roman" w:hAnsi="Times New Roman"/>
            <w:sz w:val="14"/>
            <w:szCs w:val="14"/>
            <w:u w:val="single" w:color="auto"/>
            <w:color w:val="0000EE"/>
          </w:rPr>
          <w:t>the SEC on April 24, 2025</w:t>
        </w:r>
        <w:r>
          <w:rPr>
            <w:rFonts w:ascii="Times New Roman" w:cs="Times New Roman" w:eastAsia="Times New Roman" w:hAnsi="Times New Roman"/>
            <w:sz w:val="14"/>
            <w:szCs w:val="14"/>
            <w:color w:val="000000"/>
          </w:rPr>
          <w:t>;</w:t>
        </w:r>
      </w:hyperlink>
    </w:p>
    <w:p>
      <w:pPr>
        <w:spacing w:after="0" w:line="47" w:lineRule="exact"/>
        <w:rPr>
          <w:rFonts w:ascii="Times New Roman" w:cs="Times New Roman" w:eastAsia="Times New Roman" w:hAnsi="Times New Roman"/>
          <w:sz w:val="14"/>
          <w:szCs w:val="14"/>
          <w:color w:val="0000EE"/>
        </w:rPr>
      </w:pPr>
    </w:p>
    <w:p>
      <w:pPr>
        <w:ind w:left="1640" w:right="1239" w:hanging="140"/>
        <w:spacing w:after="0" w:line="272" w:lineRule="auto"/>
        <w:tabs>
          <w:tab w:leader="none" w:pos="16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Current Reports on Form 8-K, filed with the SEC on </w:t>
      </w:r>
      <w:hyperlink r:id="rId35">
        <w:r>
          <w:rPr>
            <w:rFonts w:ascii="Times New Roman" w:cs="Times New Roman" w:eastAsia="Times New Roman" w:hAnsi="Times New Roman"/>
            <w:sz w:val="14"/>
            <w:szCs w:val="14"/>
            <w:u w:val="single" w:color="auto"/>
            <w:color w:val="0000EE"/>
          </w:rPr>
          <w:t>January 23, 2026</w:t>
        </w:r>
      </w:hyperlink>
      <w:r>
        <w:rPr>
          <w:rFonts w:ascii="Times New Roman" w:cs="Times New Roman" w:eastAsia="Times New Roman" w:hAnsi="Times New Roman"/>
          <w:sz w:val="14"/>
          <w:szCs w:val="14"/>
          <w:color w:val="auto"/>
        </w:rPr>
        <w:t xml:space="preserve">, </w:t>
      </w:r>
      <w:hyperlink r:id="rId36">
        <w:r>
          <w:rPr>
            <w:rFonts w:ascii="Times New Roman" w:cs="Times New Roman" w:eastAsia="Times New Roman" w:hAnsi="Times New Roman"/>
            <w:sz w:val="14"/>
            <w:szCs w:val="14"/>
            <w:u w:val="single" w:color="auto"/>
            <w:color w:val="0000EE"/>
          </w:rPr>
          <w:t>February 24,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(only with respect to Item 2.05 and Item 8.01 therein and the related exhibits thereto), </w:t>
      </w:r>
      <w:hyperlink r:id="rId37">
        <w:r>
          <w:rPr>
            <w:rFonts w:ascii="Times New Roman" w:cs="Times New Roman" w:eastAsia="Times New Roman" w:hAnsi="Times New Roman"/>
            <w:sz w:val="14"/>
            <w:szCs w:val="14"/>
            <w:u w:val="single" w:color="auto"/>
            <w:color w:val="0000EE"/>
          </w:rPr>
          <w:t>April 14,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(only with respect to Item 5.02 therein and the related exhibits thereto) and </w:t>
      </w:r>
      <w:hyperlink r:id="rId38">
        <w:r>
          <w:rPr>
            <w:rFonts w:ascii="Times New Roman" w:cs="Times New Roman" w:eastAsia="Times New Roman" w:hAnsi="Times New Roman"/>
            <w:sz w:val="14"/>
            <w:szCs w:val="14"/>
            <w:u w:val="single" w:color="auto"/>
            <w:color w:val="0000EE"/>
          </w:rPr>
          <w:t>April 14,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(only with respect to Items 1.01, 3.02, 3.03 and 8.01 therein and the related exhibits thereto); and</w:t>
      </w:r>
    </w:p>
    <w:p>
      <w:pPr>
        <w:spacing w:after="0" w:line="50" w:lineRule="exact"/>
        <w:rPr>
          <w:rFonts w:ascii="Times New Roman" w:cs="Times New Roman" w:eastAsia="Times New Roman" w:hAnsi="Times New Roman"/>
          <w:sz w:val="14"/>
          <w:szCs w:val="14"/>
          <w:color w:val="auto"/>
        </w:rPr>
      </w:pPr>
    </w:p>
    <w:p>
      <w:pPr>
        <w:ind w:left="1640" w:right="1259" w:hanging="140"/>
        <w:spacing w:after="0" w:line="272" w:lineRule="auto"/>
        <w:tabs>
          <w:tab w:leader="none" w:pos="1640" w:val="left"/>
        </w:tabs>
        <w:numPr>
          <w:ilvl w:val="0"/>
          <w:numId w:val="1"/>
        </w:numPr>
        <w:rPr>
          <w:rFonts w:ascii="Times New Roman" w:cs="Times New Roman" w:eastAsia="Times New Roman" w:hAnsi="Times New Roman"/>
          <w:sz w:val="14"/>
          <w:szCs w:val="14"/>
          <w:color w:val="000000"/>
        </w:rPr>
      </w:pPr>
      <w:hyperlink r:id="rId39">
        <w:r>
          <w:rPr>
            <w:rFonts w:ascii="Times New Roman" w:cs="Times New Roman" w:eastAsia="Times New Roman" w:hAnsi="Times New Roman"/>
            <w:sz w:val="14"/>
            <w:szCs w:val="14"/>
            <w:color w:val="auto"/>
          </w:rPr>
          <w:t xml:space="preserve">The description of our capital stock contained in our Registration Statement on </w:t>
        </w:r>
        <w:r>
          <w:rPr>
            <w:rFonts w:ascii="Times New Roman" w:cs="Times New Roman" w:eastAsia="Times New Roman" w:hAnsi="Times New Roman"/>
            <w:sz w:val="14"/>
            <w:szCs w:val="14"/>
            <w:u w:val="single" w:color="auto"/>
            <w:color w:val="0000EE"/>
          </w:rPr>
          <w:t>Form 8-A (File</w:t>
        </w:r>
      </w:hyperlink>
      <w:r>
        <w:rPr>
          <w:rFonts w:ascii="Times New Roman" w:cs="Times New Roman" w:eastAsia="Times New Roman" w:hAnsi="Times New Roman"/>
          <w:sz w:val="14"/>
          <w:szCs w:val="14"/>
          <w:color w:val="auto"/>
        </w:rPr>
        <w:t xml:space="preserve"> </w:t>
      </w:r>
      <w:hyperlink r:id="rId39">
        <w:r>
          <w:rPr>
            <w:rFonts w:ascii="Times New Roman" w:cs="Times New Roman" w:eastAsia="Times New Roman" w:hAnsi="Times New Roman"/>
            <w:sz w:val="14"/>
            <w:szCs w:val="14"/>
            <w:u w:val="single" w:color="auto"/>
            <w:color w:val="0000EE"/>
          </w:rPr>
          <w:t>No. 001-39408), filed with the SEC on July 23, 2021</w:t>
        </w:r>
        <w:r>
          <w:rPr>
            <w:rFonts w:ascii="Times New Roman" w:cs="Times New Roman" w:eastAsia="Times New Roman" w:hAnsi="Times New Roman"/>
            <w:sz w:val="14"/>
            <w:szCs w:val="14"/>
            <w:color w:val="000000"/>
          </w:rPr>
          <w:t xml:space="preserve">, and any amendments or reports filed for </w:t>
        </w:r>
      </w:hyperlink>
      <w:r>
        <w:rPr>
          <w:rFonts w:ascii="Times New Roman" w:cs="Times New Roman" w:eastAsia="Times New Roman" w:hAnsi="Times New Roman"/>
          <w:sz w:val="14"/>
          <w:szCs w:val="14"/>
          <w:color w:val="0000EE"/>
        </w:rPr>
        <w:t xml:space="preserve">the </w:t>
      </w:r>
      <w:r>
        <w:rPr>
          <w:rFonts w:ascii="Times New Roman" w:cs="Times New Roman" w:eastAsia="Times New Roman" w:hAnsi="Times New Roman"/>
          <w:sz w:val="14"/>
          <w:szCs w:val="14"/>
          <w:color w:val="000000"/>
        </w:rPr>
        <w:t xml:space="preserve">purpose of updating such description, including </w:t>
      </w:r>
      <w:hyperlink r:id="rId40">
        <w:r>
          <w:rPr>
            <w:rFonts w:ascii="Times New Roman" w:cs="Times New Roman" w:eastAsia="Times New Roman" w:hAnsi="Times New Roman"/>
            <w:sz w:val="14"/>
            <w:szCs w:val="14"/>
            <w:u w:val="single" w:color="auto"/>
            <w:color w:val="0000EE"/>
          </w:rPr>
          <w:t>Exhibit 4.10</w:t>
        </w:r>
        <w:r>
          <w:rPr>
            <w:rFonts w:ascii="Times New Roman" w:cs="Times New Roman" w:eastAsia="Times New Roman" w:hAnsi="Times New Roman"/>
            <w:sz w:val="14"/>
            <w:szCs w:val="14"/>
            <w:u w:val="single" w:color="auto"/>
            <w:color w:val="000000"/>
          </w:rPr>
          <w:t xml:space="preserve"> </w:t>
        </w:r>
      </w:hyperlink>
      <w:r>
        <w:rPr>
          <w:rFonts w:ascii="Times New Roman" w:cs="Times New Roman" w:eastAsia="Times New Roman" w:hAnsi="Times New Roman"/>
          <w:sz w:val="14"/>
          <w:szCs w:val="14"/>
          <w:color w:val="000000"/>
        </w:rPr>
        <w:t>of our Annual Report on Form 10-K for the fiscal year ended December 31, 2025, filed with the SEC on February 24, 2026.</w:t>
      </w:r>
    </w:p>
    <w:p>
      <w:pPr>
        <w:spacing w:after="0" w:line="288" w:lineRule="exact"/>
        <w:rPr>
          <w:rFonts w:ascii="Times New Roman" w:cs="Times New Roman" w:eastAsia="Times New Roman" w:hAnsi="Times New Roman"/>
          <w:sz w:val="14"/>
          <w:szCs w:val="1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120650</wp:posOffset>
            </wp:positionH>
            <wp:positionV relativeFrom="paragraph">
              <wp:posOffset>203835</wp:posOffset>
            </wp:positionV>
            <wp:extent cx="5479415" cy="393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5479415"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4" w:name="page5"/>
    <w:bookmarkEnd w:id="4"/>
    <w:p>
      <w:pPr>
        <w:ind w:left="20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220" w:right="1339" w:firstLine="289"/>
        <w:spacing w:after="0" w:line="270" w:lineRule="auto"/>
        <w:rPr>
          <w:sz w:val="20"/>
          <w:szCs w:val="20"/>
          <w:color w:val="auto"/>
        </w:rPr>
      </w:pPr>
      <w:r>
        <w:rPr>
          <w:rFonts w:ascii="Times New Roman" w:cs="Times New Roman" w:eastAsia="Times New Roman" w:hAnsi="Times New Roman"/>
          <w:sz w:val="14"/>
          <w:szCs w:val="14"/>
          <w:color w:val="auto"/>
        </w:rPr>
        <w:t>All documents filed by us pursuant to Sections 13(a), 13(c), 14 or 15(d) of the Exchange Act after the date of this prospectus and before the termination of the applicable offering also shall be deemed to be incorporated herein by reference. We are not, however, incorporating by reference any documents or portions thereof that are not deemed “filed” with the SEC, including any information furnished pursuant to Items 2.02 or 7.01 of Form 8-K.</w:t>
      </w:r>
    </w:p>
    <w:p>
      <w:pPr>
        <w:spacing w:after="0" w:line="261" w:lineRule="exact"/>
        <w:rPr>
          <w:sz w:val="20"/>
          <w:szCs w:val="20"/>
          <w:color w:val="auto"/>
        </w:rPr>
      </w:pPr>
    </w:p>
    <w:p>
      <w:pPr>
        <w:ind w:left="1220" w:right="1279" w:firstLine="289"/>
        <w:spacing w:after="0" w:line="266" w:lineRule="auto"/>
        <w:rPr>
          <w:sz w:val="20"/>
          <w:szCs w:val="20"/>
          <w:color w:val="auto"/>
        </w:rPr>
      </w:pPr>
      <w:r>
        <w:rPr>
          <w:rFonts w:ascii="Times New Roman" w:cs="Times New Roman" w:eastAsia="Times New Roman" w:hAnsi="Times New Roman"/>
          <w:sz w:val="14"/>
          <w:szCs w:val="14"/>
          <w:color w:val="auto"/>
        </w:rPr>
        <w:t>If requested, we will provide to each person, including any beneficial owner, to whom a prospectus is delivered, a copy of any or all of the information that has been incorporated by reference in the prospectus but not delivered with the prospectus. Exhibits to the filings will not be sent, however, unless those exhibits have specifically been incorporated by reference into such documents. To obtain a copy of these filings at no cost, you may contact us at Investor Relations at 7373 Gateway Boulevard, Newark, CA 94560, by email: investor@lucidmotors.com, or by telephone: (510) 648-3553.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203835</wp:posOffset>
            </wp:positionV>
            <wp:extent cx="5479415" cy="393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5479415"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5" w:name="page6"/>
    <w:bookmarkEnd w:id="5"/>
    <w:p>
      <w:pPr>
        <w:ind w:left="20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4"/>
          <w:szCs w:val="14"/>
          <w:b w:val="1"/>
          <w:bCs w:val="1"/>
          <w:color w:val="auto"/>
        </w:rPr>
        <w:t>FREQUENTLY USED TERMS</w:t>
      </w:r>
    </w:p>
    <w:p>
      <w:pPr>
        <w:spacing w:after="0" w:line="13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Unless otherwise stated in this prospectus or the context otherwise requires, references to:</w:t>
      </w:r>
    </w:p>
    <w:p>
      <w:pPr>
        <w:spacing w:after="0" w:line="131" w:lineRule="exact"/>
        <w:rPr>
          <w:sz w:val="20"/>
          <w:szCs w:val="20"/>
          <w:color w:val="auto"/>
        </w:rPr>
      </w:pPr>
    </w:p>
    <w:p>
      <w:pPr>
        <w:ind w:left="1220" w:right="1239" w:firstLine="289"/>
        <w:spacing w:after="0" w:line="299" w:lineRule="auto"/>
        <w:rPr>
          <w:sz w:val="20"/>
          <w:szCs w:val="20"/>
          <w:color w:val="auto"/>
        </w:rPr>
      </w:pPr>
      <w:r>
        <w:rPr>
          <w:rFonts w:ascii="Times New Roman" w:cs="Times New Roman" w:eastAsia="Times New Roman" w:hAnsi="Times New Roman"/>
          <w:sz w:val="14"/>
          <w:szCs w:val="14"/>
          <w:color w:val="auto"/>
        </w:rPr>
        <w:t>“Ayar” are to Ayar Third Investment Company, an affiliate of PIF and the controlling stockholder of the Company;</w:t>
      </w:r>
    </w:p>
    <w:p>
      <w:pPr>
        <w:spacing w:after="0" w:line="54" w:lineRule="exact"/>
        <w:rPr>
          <w:sz w:val="20"/>
          <w:szCs w:val="20"/>
          <w:color w:val="auto"/>
        </w:rPr>
      </w:pPr>
    </w:p>
    <w:p>
      <w:pPr>
        <w:ind w:left="1220" w:right="1819" w:firstLine="289"/>
        <w:spacing w:after="0" w:line="299" w:lineRule="auto"/>
        <w:rPr>
          <w:sz w:val="20"/>
          <w:szCs w:val="20"/>
          <w:color w:val="auto"/>
        </w:rPr>
      </w:pPr>
      <w:r>
        <w:rPr>
          <w:rFonts w:ascii="Times New Roman" w:cs="Times New Roman" w:eastAsia="Times New Roman" w:hAnsi="Times New Roman"/>
          <w:sz w:val="14"/>
          <w:szCs w:val="14"/>
          <w:color w:val="auto"/>
        </w:rPr>
        <w:t>“Board” or “Board of Directors” are to the board of directors of Lucid Group Inc., a Delaware corporation;</w:t>
      </w:r>
    </w:p>
    <w:p>
      <w:pPr>
        <w:spacing w:after="0" w:line="6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“common stock” are to the Class A common stock of Lucid Group, Inc., par value $0.0001 per share;</w:t>
      </w:r>
    </w:p>
    <w:p>
      <w:pPr>
        <w:spacing w:after="0" w:line="131" w:lineRule="exact"/>
        <w:rPr>
          <w:sz w:val="20"/>
          <w:szCs w:val="20"/>
          <w:color w:val="auto"/>
        </w:rPr>
      </w:pPr>
    </w:p>
    <w:p>
      <w:pPr>
        <w:ind w:left="1220" w:right="1459" w:firstLine="289"/>
        <w:spacing w:after="0" w:line="299" w:lineRule="auto"/>
        <w:rPr>
          <w:sz w:val="20"/>
          <w:szCs w:val="20"/>
          <w:color w:val="auto"/>
        </w:rPr>
      </w:pPr>
      <w:r>
        <w:rPr>
          <w:rFonts w:ascii="Times New Roman" w:cs="Times New Roman" w:eastAsia="Times New Roman" w:hAnsi="Times New Roman"/>
          <w:sz w:val="14"/>
          <w:szCs w:val="14"/>
          <w:color w:val="auto"/>
        </w:rPr>
        <w:t>“Convertible Senior Notes” are to the Company’s 1.25% Convertible Senior Notes due 2026, 5.00% Convertible Senior Notes due 2030 and 7.00% Convertible Senior Notes due 2031;</w:t>
      </w:r>
    </w:p>
    <w:p>
      <w:pPr>
        <w:spacing w:after="0" w:line="54" w:lineRule="exact"/>
        <w:rPr>
          <w:sz w:val="20"/>
          <w:szCs w:val="20"/>
          <w:color w:val="auto"/>
        </w:rPr>
      </w:pPr>
    </w:p>
    <w:p>
      <w:pPr>
        <w:ind w:left="1220" w:right="1379" w:firstLine="289"/>
        <w:spacing w:after="0" w:line="299" w:lineRule="auto"/>
        <w:rPr>
          <w:sz w:val="20"/>
          <w:szCs w:val="20"/>
          <w:color w:val="auto"/>
        </w:rPr>
      </w:pPr>
      <w:r>
        <w:rPr>
          <w:rFonts w:ascii="Times New Roman" w:cs="Times New Roman" w:eastAsia="Times New Roman" w:hAnsi="Times New Roman"/>
          <w:sz w:val="14"/>
          <w:szCs w:val="14"/>
          <w:color w:val="auto"/>
        </w:rPr>
        <w:t>“current bylaws” are to the Company’s Second Amended and Restated Bylaws in effect as of the date of this prospectus;</w:t>
      </w:r>
    </w:p>
    <w:p>
      <w:pPr>
        <w:spacing w:after="0" w:line="65" w:lineRule="exact"/>
        <w:rPr>
          <w:sz w:val="20"/>
          <w:szCs w:val="20"/>
          <w:color w:val="auto"/>
        </w:rPr>
      </w:pPr>
    </w:p>
    <w:p>
      <w:pPr>
        <w:ind w:left="1220" w:right="1319" w:firstLine="289"/>
        <w:spacing w:after="0" w:line="299" w:lineRule="auto"/>
        <w:rPr>
          <w:sz w:val="20"/>
          <w:szCs w:val="20"/>
          <w:color w:val="auto"/>
        </w:rPr>
      </w:pPr>
      <w:r>
        <w:rPr>
          <w:rFonts w:ascii="Times New Roman" w:cs="Times New Roman" w:eastAsia="Times New Roman" w:hAnsi="Times New Roman"/>
          <w:sz w:val="14"/>
          <w:szCs w:val="14"/>
          <w:color w:val="auto"/>
        </w:rPr>
        <w:t>“current certificate of incorporation” are to the Company’s Third Amended and Restated Certificate of Incorporation as amended and in effect as of the date of this prospectus;</w:t>
      </w:r>
    </w:p>
    <w:p>
      <w:pPr>
        <w:spacing w:after="0" w:line="6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“DGCL” are to the Delaware General Corporation Law, as amended;</w:t>
      </w:r>
    </w:p>
    <w:p>
      <w:pPr>
        <w:spacing w:after="0" w:line="12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“EV” are to electric vehicle;</w:t>
      </w:r>
    </w:p>
    <w:p>
      <w:pPr>
        <w:spacing w:after="0" w:line="13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“Nasdaq” are to The Nasdaq Stock Market LLC;</w:t>
      </w:r>
    </w:p>
    <w:p>
      <w:pPr>
        <w:spacing w:after="0" w:line="13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“PIF” are to the Public Investment Fund, the sovereign wealth fund of Saudi Arabia;</w:t>
      </w:r>
    </w:p>
    <w:p>
      <w:pPr>
        <w:spacing w:after="0" w:line="121" w:lineRule="exact"/>
        <w:rPr>
          <w:sz w:val="20"/>
          <w:szCs w:val="20"/>
          <w:color w:val="auto"/>
        </w:rPr>
      </w:pPr>
    </w:p>
    <w:p>
      <w:pPr>
        <w:ind w:left="1220" w:right="1439" w:firstLine="289"/>
        <w:spacing w:after="0" w:line="278" w:lineRule="auto"/>
        <w:rPr>
          <w:sz w:val="20"/>
          <w:szCs w:val="20"/>
          <w:color w:val="auto"/>
        </w:rPr>
      </w:pPr>
      <w:r>
        <w:rPr>
          <w:rFonts w:ascii="Times New Roman" w:cs="Times New Roman" w:eastAsia="Times New Roman" w:hAnsi="Times New Roman"/>
          <w:sz w:val="14"/>
          <w:szCs w:val="14"/>
          <w:color w:val="auto"/>
        </w:rPr>
        <w:t>“Redeemable Convertible Preferred Stock” are to the Series A Convertible Preferred Stock, Series B Convertible Preferred Stock and Series C Convertible Preferred Stock of Lucid Group, Inc., par value $0.0001 per share, together;</w:t>
      </w:r>
    </w:p>
    <w:p>
      <w:pPr>
        <w:spacing w:after="0" w:line="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“Series C Convertible Preferred Stock” are to the Series C Convertible Preferred Stock, par value</w:t>
      </w:r>
    </w:p>
    <w:p>
      <w:pPr>
        <w:spacing w:after="0" w:line="2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color w:val="auto"/>
        </w:rPr>
        <w:t>$0.0001 per share, to be issued to Ayar pursuant to its subscription agreement with Lucid Group, Inc., dated</w:t>
      </w:r>
    </w:p>
    <w:p>
      <w:pPr>
        <w:spacing w:after="0" w:line="1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color w:val="auto"/>
        </w:rPr>
        <w:t>April 14, 2026; and</w:t>
      </w:r>
    </w:p>
    <w:p>
      <w:pPr>
        <w:spacing w:after="0" w:line="1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“SMB” are to SMB Holding Corporation, a subsidiary of Uber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203835</wp:posOffset>
            </wp:positionV>
            <wp:extent cx="5479415" cy="393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5479415"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6" w:name="page7"/>
    <w:bookmarkEnd w:id="6"/>
    <w:p>
      <w:pPr>
        <w:ind w:left="20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133" w:lineRule="exact"/>
        <w:rPr>
          <w:sz w:val="20"/>
          <w:szCs w:val="20"/>
          <w:color w:val="auto"/>
        </w:rPr>
      </w:pPr>
    </w:p>
    <w:p>
      <w:pPr>
        <w:ind w:left="1220" w:right="1259" w:firstLine="289"/>
        <w:spacing w:after="0" w:line="257" w:lineRule="auto"/>
        <w:rPr>
          <w:sz w:val="20"/>
          <w:szCs w:val="20"/>
          <w:color w:val="auto"/>
        </w:rPr>
      </w:pPr>
      <w:r>
        <w:rPr>
          <w:rFonts w:ascii="Times New Roman" w:cs="Times New Roman" w:eastAsia="Times New Roman" w:hAnsi="Times New Roman"/>
          <w:sz w:val="14"/>
          <w:szCs w:val="14"/>
          <w:color w:val="auto"/>
        </w:rPr>
        <w:t>This prospectus and any accompanying prospectus supplement and any documents incorporated by reference contain statements that express our opinions, expectations, beliefs, plans, objectives, assumptions or projections regarding future events or future results and therefore are, or may be deemed to be, “forward-looking statements” within the meaning of Section 27A of the Securities Act and Section 21E of the Exchange Act.</w:t>
      </w:r>
    </w:p>
    <w:p>
      <w:pPr>
        <w:spacing w:after="0" w:line="253" w:lineRule="exact"/>
        <w:rPr>
          <w:sz w:val="20"/>
          <w:szCs w:val="20"/>
          <w:color w:val="auto"/>
        </w:rPr>
      </w:pPr>
    </w:p>
    <w:p>
      <w:pPr>
        <w:ind w:left="1220" w:right="1279" w:firstLine="289"/>
        <w:spacing w:after="0" w:line="249" w:lineRule="auto"/>
        <w:rPr>
          <w:sz w:val="20"/>
          <w:szCs w:val="20"/>
          <w:color w:val="auto"/>
        </w:rPr>
      </w:pPr>
      <w:r>
        <w:rPr>
          <w:rFonts w:ascii="Times New Roman" w:cs="Times New Roman" w:eastAsia="Times New Roman" w:hAnsi="Times New Roman"/>
          <w:sz w:val="14"/>
          <w:szCs w:val="14"/>
          <w:color w:val="auto"/>
        </w:rPr>
        <w:t>Forward-looking statements may be identified by the use of words such as “estimate,” “plan,” “project,” “forecast,” “intend,” “will,” “shall,” “expect,” “anticipate,” “believe,” “seek,” “target,” “continue,” “could,” “may,” “might,” “possible,” “potential,” “predict,” “scheduled” or other similar expressions that predict or indicate future events or trends or that are not statements of historical matters. They appear in a number of places throughout this prospectus and the documents incorporated by reference into this prospectus and include, but are not limited to, statements regarding our intentions, beliefs or current expectations concerning, among other things, results of operations, financial condition, liquidity, capital expenditures, prospects, growth, production volumes, strategies, management, and the markets in which we operate, including expectations of financial and operational metrics, projections of market opportunity, market share and product sales, expectations and timing related to commercial product launches, future strategies and products, including with respect to battery and powertrain systems, software, and strategic partnerships, technology features and capabilities, manufacturing capabilities and facilities, logistics and supply chain, studio openings, sales channels and strategies, future vehicle programs, expansion and the potential success of our distribution strategy, our financial and operating outlook, future market launches and international expansion, including our manufacturing facility in Saudi Arabia and related timing and value to us, our needs for additional financing, and the promise of our technology. Such forward-looking statements are based on available current market material and our current expectations, beliefs and forecasts concerning future developments. Factors that may impact such forward-looking statements include:</w:t>
      </w:r>
    </w:p>
    <w:p>
      <w:pPr>
        <w:spacing w:after="0" w:line="399" w:lineRule="exact"/>
        <w:rPr>
          <w:sz w:val="20"/>
          <w:szCs w:val="20"/>
          <w:color w:val="auto"/>
        </w:rPr>
      </w:pPr>
    </w:p>
    <w:p>
      <w:pPr>
        <w:ind w:left="1640" w:right="1239" w:hanging="140"/>
        <w:spacing w:after="0" w:line="266" w:lineRule="auto"/>
        <w:tabs>
          <w:tab w:leader="none" w:pos="16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domestic and foreign business, economic, market, financial, political, regulatory and legal conditions, including changes of policies, imposition or proposed imposition of tariffs, export controls, threat of a trade war, the risk of a global economic recession or other downturn, bank closures and liquidity concerns at financial institutions, and global or regional conflicts or other geopolitical events, including the military operations in the Gulf region and the Middle East, and the potential escalation and broadening of the war in Iran;</w:t>
      </w:r>
    </w:p>
    <w:p>
      <w:pPr>
        <w:spacing w:after="0" w:line="45" w:lineRule="exact"/>
        <w:rPr>
          <w:rFonts w:ascii="Times New Roman" w:cs="Times New Roman" w:eastAsia="Times New Roman" w:hAnsi="Times New Roman"/>
          <w:sz w:val="14"/>
          <w:szCs w:val="14"/>
          <w:color w:val="auto"/>
        </w:rPr>
      </w:pPr>
    </w:p>
    <w:p>
      <w:pPr>
        <w:ind w:left="1640" w:right="1419" w:hanging="140"/>
        <w:spacing w:after="0" w:line="299" w:lineRule="auto"/>
        <w:tabs>
          <w:tab w:leader="none" w:pos="16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changes in overall demand for our products and services and cancellation of orders for our vehicles;</w:t>
      </w:r>
    </w:p>
    <w:p>
      <w:pPr>
        <w:spacing w:after="0" w:line="21" w:lineRule="exact"/>
        <w:rPr>
          <w:rFonts w:ascii="Times New Roman" w:cs="Times New Roman" w:eastAsia="Times New Roman" w:hAnsi="Times New Roman"/>
          <w:sz w:val="14"/>
          <w:szCs w:val="14"/>
          <w:color w:val="auto"/>
        </w:rPr>
      </w:pPr>
    </w:p>
    <w:p>
      <w:pPr>
        <w:ind w:left="1640" w:right="1299" w:hanging="140"/>
        <w:spacing w:after="0" w:line="272" w:lineRule="auto"/>
        <w:tabs>
          <w:tab w:leader="none" w:pos="16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prices and availability of commodities and components, including rare-earth minerals, semiconductors and their related products, and other materials, our supply chain, logistics, inventory management and quality control, and our ability to complete the tooling of our manufacturing facilities over time and scale production of our vehicles;</w:t>
      </w:r>
    </w:p>
    <w:p>
      <w:pPr>
        <w:spacing w:after="0" w:line="39" w:lineRule="exact"/>
        <w:rPr>
          <w:rFonts w:ascii="Times New Roman" w:cs="Times New Roman" w:eastAsia="Times New Roman" w:hAnsi="Times New Roman"/>
          <w:sz w:val="14"/>
          <w:szCs w:val="14"/>
          <w:color w:val="auto"/>
        </w:rPr>
      </w:pPr>
    </w:p>
    <w:p>
      <w:pPr>
        <w:ind w:left="1640" w:hanging="140"/>
        <w:spacing w:after="0"/>
        <w:tabs>
          <w:tab w:leader="none" w:pos="16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the uncertainty of our projected financial and operational information;</w:t>
      </w:r>
    </w:p>
    <w:p>
      <w:pPr>
        <w:spacing w:after="0" w:line="88" w:lineRule="exact"/>
        <w:rPr>
          <w:rFonts w:ascii="Times New Roman" w:cs="Times New Roman" w:eastAsia="Times New Roman" w:hAnsi="Times New Roman"/>
          <w:sz w:val="14"/>
          <w:szCs w:val="14"/>
          <w:color w:val="auto"/>
        </w:rPr>
      </w:pPr>
    </w:p>
    <w:p>
      <w:pPr>
        <w:ind w:left="1640" w:hanging="140"/>
        <w:spacing w:after="0"/>
        <w:tabs>
          <w:tab w:leader="none" w:pos="16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the timing of expected business milestones and commercial product launches;</w:t>
      </w:r>
    </w:p>
    <w:p>
      <w:pPr>
        <w:spacing w:after="0" w:line="88" w:lineRule="exact"/>
        <w:rPr>
          <w:rFonts w:ascii="Times New Roman" w:cs="Times New Roman" w:eastAsia="Times New Roman" w:hAnsi="Times New Roman"/>
          <w:sz w:val="14"/>
          <w:szCs w:val="14"/>
          <w:color w:val="auto"/>
        </w:rPr>
      </w:pPr>
    </w:p>
    <w:p>
      <w:pPr>
        <w:ind w:left="1640" w:right="1259" w:hanging="140"/>
        <w:spacing w:after="0" w:line="299" w:lineRule="auto"/>
        <w:tabs>
          <w:tab w:leader="none" w:pos="16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the construction and expansion of our manufacturing facilities and the increase of our production capacity;</w:t>
      </w:r>
    </w:p>
    <w:p>
      <w:pPr>
        <w:spacing w:after="0" w:line="21" w:lineRule="exact"/>
        <w:rPr>
          <w:rFonts w:ascii="Times New Roman" w:cs="Times New Roman" w:eastAsia="Times New Roman" w:hAnsi="Times New Roman"/>
          <w:sz w:val="14"/>
          <w:szCs w:val="14"/>
          <w:color w:val="auto"/>
        </w:rPr>
      </w:pPr>
    </w:p>
    <w:p>
      <w:pPr>
        <w:ind w:left="1640" w:hanging="140"/>
        <w:spacing w:after="0"/>
        <w:tabs>
          <w:tab w:leader="none" w:pos="16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manage expenses and control costs;</w:t>
      </w:r>
    </w:p>
    <w:p>
      <w:pPr>
        <w:spacing w:after="0" w:line="88" w:lineRule="exact"/>
        <w:rPr>
          <w:rFonts w:ascii="Times New Roman" w:cs="Times New Roman" w:eastAsia="Times New Roman" w:hAnsi="Times New Roman"/>
          <w:sz w:val="14"/>
          <w:szCs w:val="14"/>
          <w:color w:val="auto"/>
        </w:rPr>
      </w:pPr>
    </w:p>
    <w:p>
      <w:pPr>
        <w:ind w:left="1640" w:hanging="140"/>
        <w:spacing w:after="0"/>
        <w:tabs>
          <w:tab w:leader="none" w:pos="16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future market adoption of our offerings;</w:t>
      </w:r>
    </w:p>
    <w:p>
      <w:pPr>
        <w:spacing w:after="0" w:line="88" w:lineRule="exact"/>
        <w:rPr>
          <w:rFonts w:ascii="Times New Roman" w:cs="Times New Roman" w:eastAsia="Times New Roman" w:hAnsi="Times New Roman"/>
          <w:sz w:val="14"/>
          <w:szCs w:val="14"/>
          <w:color w:val="auto"/>
        </w:rPr>
      </w:pPr>
    </w:p>
    <w:p>
      <w:pPr>
        <w:ind w:left="1640" w:hanging="140"/>
        <w:spacing w:after="0"/>
        <w:tabs>
          <w:tab w:leader="none" w:pos="16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competition and the pace and depth of EV adoption generally on our business;</w:t>
      </w:r>
    </w:p>
    <w:p>
      <w:pPr>
        <w:spacing w:after="0" w:line="77" w:lineRule="exact"/>
        <w:rPr>
          <w:rFonts w:ascii="Times New Roman" w:cs="Times New Roman" w:eastAsia="Times New Roman" w:hAnsi="Times New Roman"/>
          <w:sz w:val="14"/>
          <w:szCs w:val="14"/>
          <w:color w:val="auto"/>
        </w:rPr>
      </w:pPr>
    </w:p>
    <w:p>
      <w:pPr>
        <w:ind w:left="1640" w:hanging="140"/>
        <w:spacing w:after="0"/>
        <w:tabs>
          <w:tab w:leader="none" w:pos="16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regulatory requirements, policies, and governmental incentives;</w:t>
      </w:r>
    </w:p>
    <w:p>
      <w:pPr>
        <w:spacing w:after="0" w:line="88" w:lineRule="exact"/>
        <w:rPr>
          <w:rFonts w:ascii="Times New Roman" w:cs="Times New Roman" w:eastAsia="Times New Roman" w:hAnsi="Times New Roman"/>
          <w:sz w:val="14"/>
          <w:szCs w:val="14"/>
          <w:color w:val="auto"/>
        </w:rPr>
      </w:pPr>
    </w:p>
    <w:p>
      <w:pPr>
        <w:ind w:left="1640" w:hanging="140"/>
        <w:spacing w:after="0"/>
        <w:tabs>
          <w:tab w:leader="none" w:pos="16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fuel and energy prices;</w:t>
      </w:r>
    </w:p>
    <w:p>
      <w:pPr>
        <w:spacing w:after="0" w:line="88" w:lineRule="exact"/>
        <w:rPr>
          <w:rFonts w:ascii="Times New Roman" w:cs="Times New Roman" w:eastAsia="Times New Roman" w:hAnsi="Times New Roman"/>
          <w:sz w:val="14"/>
          <w:szCs w:val="14"/>
          <w:color w:val="auto"/>
        </w:rPr>
      </w:pPr>
    </w:p>
    <w:p>
      <w:pPr>
        <w:ind w:left="1640" w:hanging="140"/>
        <w:spacing w:after="0"/>
        <w:tabs>
          <w:tab w:leader="none" w:pos="16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rapidly innovate;</w:t>
      </w:r>
    </w:p>
    <w:p>
      <w:pPr>
        <w:spacing w:after="0" w:line="88" w:lineRule="exact"/>
        <w:rPr>
          <w:rFonts w:ascii="Times New Roman" w:cs="Times New Roman" w:eastAsia="Times New Roman" w:hAnsi="Times New Roman"/>
          <w:sz w:val="14"/>
          <w:szCs w:val="14"/>
          <w:color w:val="auto"/>
        </w:rPr>
      </w:pPr>
    </w:p>
    <w:p>
      <w:pPr>
        <w:jc w:val="both"/>
        <w:ind w:left="1640" w:right="1239" w:hanging="140"/>
        <w:spacing w:after="0" w:line="278" w:lineRule="auto"/>
        <w:tabs>
          <w:tab w:leader="none" w:pos="16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enter into or maintain partnerships with original equipment manufacturers, vendors and technology providers, including our ability to realize the anticipated benefits of our partnerships with Aston Martin, Uber Technologies, Inc., Nuro, Inc. and NVIDIA Corporation;</w:t>
      </w:r>
    </w:p>
    <w:p>
      <w:pPr>
        <w:spacing w:after="0" w:line="2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203835</wp:posOffset>
            </wp:positionV>
            <wp:extent cx="5479415" cy="393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5479415"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7" w:name="page8"/>
    <w:bookmarkEnd w:id="7"/>
    <w:p>
      <w:pPr>
        <w:ind w:left="20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640" w:right="1539" w:hanging="140"/>
        <w:spacing w:after="0" w:line="299" w:lineRule="auto"/>
        <w:tabs>
          <w:tab w:leader="none" w:pos="1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effectively manage our growth and recruit and retain key employees, including our executive team;</w:t>
      </w:r>
    </w:p>
    <w:p>
      <w:pPr>
        <w:spacing w:after="0" w:line="32" w:lineRule="exact"/>
        <w:rPr>
          <w:rFonts w:ascii="Times New Roman" w:cs="Times New Roman" w:eastAsia="Times New Roman" w:hAnsi="Times New Roman"/>
          <w:sz w:val="14"/>
          <w:szCs w:val="14"/>
          <w:color w:val="auto"/>
        </w:rPr>
      </w:pPr>
    </w:p>
    <w:p>
      <w:pPr>
        <w:ind w:left="1640" w:right="1539" w:hanging="140"/>
        <w:spacing w:after="0" w:line="291" w:lineRule="auto"/>
        <w:tabs>
          <w:tab w:leader="none" w:pos="1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ongoing need to attract, retain, and motivate key employees, including engineering and management employees, as we have undertaken multiple significant management changes in the past;</w:t>
      </w:r>
    </w:p>
    <w:p>
      <w:pPr>
        <w:spacing w:after="0" w:line="216" w:lineRule="exact"/>
        <w:rPr>
          <w:rFonts w:ascii="Times New Roman" w:cs="Times New Roman" w:eastAsia="Times New Roman" w:hAnsi="Times New Roman"/>
          <w:sz w:val="14"/>
          <w:szCs w:val="14"/>
          <w:color w:val="auto"/>
        </w:rPr>
      </w:pPr>
    </w:p>
    <w:p>
      <w:pPr>
        <w:ind w:left="1640" w:hanging="140"/>
        <w:spacing w:after="0"/>
        <w:tabs>
          <w:tab w:leader="none" w:pos="1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potential vehicle recalls;</w:t>
      </w:r>
    </w:p>
    <w:p>
      <w:pPr>
        <w:spacing w:after="0" w:line="98" w:lineRule="exact"/>
        <w:rPr>
          <w:rFonts w:ascii="Times New Roman" w:cs="Times New Roman" w:eastAsia="Times New Roman" w:hAnsi="Times New Roman"/>
          <w:sz w:val="14"/>
          <w:szCs w:val="14"/>
          <w:color w:val="auto"/>
        </w:rPr>
      </w:pPr>
    </w:p>
    <w:p>
      <w:pPr>
        <w:ind w:left="1640" w:right="1579" w:hanging="140"/>
        <w:spacing w:after="0" w:line="299" w:lineRule="auto"/>
        <w:tabs>
          <w:tab w:leader="none" w:pos="1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establish and expand our brand, and capture additional market share, and the risks associated with negative press or reputational harm;</w:t>
      </w:r>
    </w:p>
    <w:p>
      <w:pPr>
        <w:spacing w:after="0" w:line="32" w:lineRule="exact"/>
        <w:rPr>
          <w:rFonts w:ascii="Times New Roman" w:cs="Times New Roman" w:eastAsia="Times New Roman" w:hAnsi="Times New Roman"/>
          <w:sz w:val="14"/>
          <w:szCs w:val="14"/>
          <w:color w:val="auto"/>
        </w:rPr>
      </w:pPr>
    </w:p>
    <w:p>
      <w:pPr>
        <w:ind w:left="1640" w:hanging="140"/>
        <w:spacing w:after="0"/>
        <w:tabs>
          <w:tab w:leader="none" w:pos="1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our Redeemable Convertible Preferred Stock and Convertible Senior Notes;</w:t>
      </w:r>
    </w:p>
    <w:p>
      <w:pPr>
        <w:spacing w:after="0" w:line="98" w:lineRule="exact"/>
        <w:rPr>
          <w:rFonts w:ascii="Times New Roman" w:cs="Times New Roman" w:eastAsia="Times New Roman" w:hAnsi="Times New Roman"/>
          <w:sz w:val="14"/>
          <w:szCs w:val="14"/>
          <w:color w:val="auto"/>
        </w:rPr>
      </w:pPr>
    </w:p>
    <w:p>
      <w:pPr>
        <w:jc w:val="both"/>
        <w:ind w:left="1640" w:right="1719" w:hanging="140"/>
        <w:spacing w:after="0" w:line="278" w:lineRule="auto"/>
        <w:tabs>
          <w:tab w:leader="none" w:pos="1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availability, reduction or elimination of, and our ability to obtain and effectively utilize, zero emission vehicle credits, tax incentives, and other governmental and regulatory programs and incentives;</w:t>
      </w:r>
    </w:p>
    <w:p>
      <w:pPr>
        <w:spacing w:after="0" w:line="47" w:lineRule="exact"/>
        <w:rPr>
          <w:rFonts w:ascii="Times New Roman" w:cs="Times New Roman" w:eastAsia="Times New Roman" w:hAnsi="Times New Roman"/>
          <w:sz w:val="14"/>
          <w:szCs w:val="14"/>
          <w:color w:val="auto"/>
        </w:rPr>
      </w:pPr>
    </w:p>
    <w:p>
      <w:pPr>
        <w:ind w:left="1640" w:hanging="140"/>
        <w:spacing w:after="0"/>
        <w:tabs>
          <w:tab w:leader="none" w:pos="1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conduct equity, equity-linked, or debt financing in the future;</w:t>
      </w:r>
    </w:p>
    <w:p>
      <w:pPr>
        <w:spacing w:after="0" w:line="98" w:lineRule="exact"/>
        <w:rPr>
          <w:rFonts w:ascii="Times New Roman" w:cs="Times New Roman" w:eastAsia="Times New Roman" w:hAnsi="Times New Roman"/>
          <w:sz w:val="14"/>
          <w:szCs w:val="14"/>
          <w:color w:val="auto"/>
        </w:rPr>
      </w:pPr>
    </w:p>
    <w:p>
      <w:pPr>
        <w:ind w:left="1640" w:hanging="140"/>
        <w:spacing w:after="0"/>
        <w:tabs>
          <w:tab w:leader="none" w:pos="1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pay interest and principal on our indebtedness;</w:t>
      </w:r>
    </w:p>
    <w:p>
      <w:pPr>
        <w:spacing w:after="0" w:line="98" w:lineRule="exact"/>
        <w:rPr>
          <w:rFonts w:ascii="Times New Roman" w:cs="Times New Roman" w:eastAsia="Times New Roman" w:hAnsi="Times New Roman"/>
          <w:sz w:val="14"/>
          <w:szCs w:val="14"/>
          <w:color w:val="auto"/>
        </w:rPr>
      </w:pPr>
    </w:p>
    <w:p>
      <w:pPr>
        <w:ind w:left="1640" w:right="1319" w:hanging="140"/>
        <w:spacing w:after="0" w:line="299" w:lineRule="auto"/>
        <w:tabs>
          <w:tab w:leader="none" w:pos="1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changes to vehicle specifications which may impact performance, features, pricing, and other expectations;</w:t>
      </w:r>
    </w:p>
    <w:p>
      <w:pPr>
        <w:spacing w:after="0" w:line="32" w:lineRule="exact"/>
        <w:rPr>
          <w:rFonts w:ascii="Times New Roman" w:cs="Times New Roman" w:eastAsia="Times New Roman" w:hAnsi="Times New Roman"/>
          <w:sz w:val="14"/>
          <w:szCs w:val="14"/>
          <w:color w:val="auto"/>
        </w:rPr>
      </w:pPr>
    </w:p>
    <w:p>
      <w:pPr>
        <w:ind w:left="1640" w:right="1399" w:hanging="140"/>
        <w:spacing w:after="0" w:line="299" w:lineRule="auto"/>
        <w:tabs>
          <w:tab w:leader="none" w:pos="1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of any potential litigation, government and regulatory proceedings, investigations and inquiries; and</w:t>
      </w:r>
    </w:p>
    <w:p>
      <w:pPr>
        <w:spacing w:after="0" w:line="32" w:lineRule="exact"/>
        <w:rPr>
          <w:rFonts w:ascii="Times New Roman" w:cs="Times New Roman" w:eastAsia="Times New Roman" w:hAnsi="Times New Roman"/>
          <w:sz w:val="14"/>
          <w:szCs w:val="14"/>
          <w:color w:val="auto"/>
        </w:rPr>
      </w:pPr>
    </w:p>
    <w:p>
      <w:pPr>
        <w:ind w:left="1640" w:right="1979" w:hanging="140"/>
        <w:spacing w:after="0" w:line="299" w:lineRule="auto"/>
        <w:tabs>
          <w:tab w:leader="none" w:pos="1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factors disclosed in this prospectus or our other filings with the SEC, including any accompanying prospectus supplement.</w:t>
      </w:r>
    </w:p>
    <w:p>
      <w:pPr>
        <w:spacing w:after="0" w:line="65" w:lineRule="exact"/>
        <w:rPr>
          <w:sz w:val="20"/>
          <w:szCs w:val="20"/>
          <w:color w:val="auto"/>
        </w:rPr>
      </w:pPr>
    </w:p>
    <w:p>
      <w:pPr>
        <w:ind w:left="1220" w:right="1239" w:firstLine="289"/>
        <w:spacing w:after="0" w:line="261" w:lineRule="auto"/>
        <w:rPr>
          <w:sz w:val="20"/>
          <w:szCs w:val="20"/>
          <w:color w:val="auto"/>
        </w:rPr>
      </w:pPr>
      <w:r>
        <w:rPr>
          <w:rFonts w:ascii="Times New Roman" w:cs="Times New Roman" w:eastAsia="Times New Roman" w:hAnsi="Times New Roman"/>
          <w:sz w:val="14"/>
          <w:szCs w:val="14"/>
          <w:color w:val="auto"/>
        </w:rPr>
        <w:t>The forward-looking statements contained in this prospectus and the documents incorporated by reference into this prospectus or any prospectus supplement are based on our current expectations and beliefs concerning future developments and their potential effects on our business. There can be no assurance that future developments affecting our business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the risks described in this prospectus, any accompanying prospectus supplement and any documents incorporated by reference, including the “Risk Factors” sections of this prospectus, any accompanying prospectus supplement and our reports and other documents filed with the SEC. When considering forward-looking statements, you should keep in mind the risks, uncertainties and other cautionary statements made in this prospectus, any accompanying prospectus supplement and the documents incorporated by reference.</w:t>
      </w:r>
    </w:p>
    <w:p>
      <w:pPr>
        <w:spacing w:after="0" w:line="271" w:lineRule="exact"/>
        <w:rPr>
          <w:sz w:val="20"/>
          <w:szCs w:val="20"/>
          <w:color w:val="auto"/>
        </w:rPr>
      </w:pPr>
    </w:p>
    <w:p>
      <w:pPr>
        <w:ind w:left="1220" w:right="1239" w:firstLine="289"/>
        <w:spacing w:after="0" w:line="265" w:lineRule="auto"/>
        <w:rPr>
          <w:sz w:val="20"/>
          <w:szCs w:val="20"/>
          <w:color w:val="auto"/>
        </w:rPr>
      </w:pPr>
      <w:r>
        <w:rPr>
          <w:rFonts w:ascii="Times New Roman" w:cs="Times New Roman" w:eastAsia="Times New Roman" w:hAnsi="Times New Roman"/>
          <w:sz w:val="14"/>
          <w:szCs w:val="14"/>
          <w:color w:val="auto"/>
        </w:rPr>
        <w:t>There can be no assurance that other factors not currently anticipated by us will not materially and adversely affect our business, financial condition and results of operations. You are cautioned not to place undue reliance on any forward-looking statements made by us or on our behalf. Please take into account that forward-looking statements speak only as of the date of this prospectus or, in the case of any accompanying prospectus supplement or documents incorporated by reference, the date of any such document. Except as required by applicable law, we do not undertake any obligation to publicly correct or update any forward-looking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203835</wp:posOffset>
            </wp:positionV>
            <wp:extent cx="5479415" cy="393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5479415"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8" w:name="page9"/>
    <w:bookmarkEnd w:id="8"/>
    <w:p>
      <w:pPr>
        <w:ind w:left="20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THE COMPANY</w:t>
      </w:r>
    </w:p>
    <w:p>
      <w:pPr>
        <w:spacing w:after="0" w:line="131" w:lineRule="exact"/>
        <w:rPr>
          <w:sz w:val="20"/>
          <w:szCs w:val="20"/>
          <w:color w:val="auto"/>
        </w:rPr>
      </w:pPr>
    </w:p>
    <w:p>
      <w:pPr>
        <w:ind w:left="1220" w:right="1339" w:firstLine="289"/>
        <w:spacing w:after="0" w:line="269" w:lineRule="auto"/>
        <w:rPr>
          <w:sz w:val="20"/>
          <w:szCs w:val="20"/>
          <w:color w:val="auto"/>
        </w:rPr>
      </w:pPr>
      <w:r>
        <w:rPr>
          <w:rFonts w:ascii="Times New Roman" w:cs="Times New Roman" w:eastAsia="Times New Roman" w:hAnsi="Times New Roman"/>
          <w:sz w:val="14"/>
          <w:szCs w:val="14"/>
          <w:i w:val="1"/>
          <w:iCs w:val="1"/>
          <w:color w:val="auto"/>
        </w:rPr>
        <w:t>This summary highlights selected information and does not contain all of the information that is important to you. This summary is qualified in its entirety by the more detailed information included in or incorporated by reference into this prospectus. Before making your investment decision with respect to our securities, you should carefully read this entire prospectus, any applicable prospectus supplement and the documents referred to in “Where You Can Find More Information.”</w:t>
      </w:r>
    </w:p>
    <w:p>
      <w:pPr>
        <w:spacing w:after="0" w:line="13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About Lucid</w:t>
      </w:r>
    </w:p>
    <w:p>
      <w:pPr>
        <w:spacing w:after="0" w:line="133" w:lineRule="exact"/>
        <w:rPr>
          <w:sz w:val="20"/>
          <w:szCs w:val="20"/>
          <w:color w:val="auto"/>
        </w:rPr>
      </w:pPr>
    </w:p>
    <w:p>
      <w:pPr>
        <w:ind w:left="1220" w:right="1279" w:firstLine="289"/>
        <w:spacing w:after="0" w:line="267" w:lineRule="auto"/>
        <w:rPr>
          <w:sz w:val="20"/>
          <w:szCs w:val="20"/>
          <w:color w:val="auto"/>
        </w:rPr>
      </w:pPr>
      <w:r>
        <w:rPr>
          <w:rFonts w:ascii="Times New Roman" w:cs="Times New Roman" w:eastAsia="Times New Roman" w:hAnsi="Times New Roman"/>
          <w:sz w:val="14"/>
          <w:szCs w:val="14"/>
          <w:color w:val="auto"/>
        </w:rPr>
        <w:t>We are a technology company that is shaping the future of mobility through our innovations, advanced technology, and software-defined vehicle platforms. Our award-winning Lucid Air and Lucid Gravity set new standards with their unmatched combination of performance, range, space and efficiency. Our focus on in-house hardware and software innovation, vertical integration, and a “clean sheet” approach to engineering and design led to the development of the award-winning Lucid Air and Lucid Gravity, and upcoming Midsize platform.</w:t>
      </w:r>
    </w:p>
    <w:p>
      <w:pPr>
        <w:spacing w:after="0" w:line="253" w:lineRule="exact"/>
        <w:rPr>
          <w:sz w:val="20"/>
          <w:szCs w:val="20"/>
          <w:color w:val="auto"/>
        </w:rPr>
      </w:pPr>
    </w:p>
    <w:p>
      <w:pPr>
        <w:ind w:left="1220" w:right="1239" w:firstLine="289"/>
        <w:spacing w:after="0" w:line="263" w:lineRule="auto"/>
        <w:rPr>
          <w:sz w:val="20"/>
          <w:szCs w:val="20"/>
          <w:color w:val="auto"/>
        </w:rPr>
      </w:pPr>
      <w:r>
        <w:rPr>
          <w:rFonts w:ascii="Times New Roman" w:cs="Times New Roman" w:eastAsia="Times New Roman" w:hAnsi="Times New Roman"/>
          <w:sz w:val="14"/>
          <w:szCs w:val="14"/>
          <w:color w:val="auto"/>
        </w:rPr>
        <w:t>We sell vehicles directly to consumers in North America through our retail sales network and online channels, including Lucid Financial Services. We believe that owning and operating our sales network provides the best opportunity to closely manage the customer experience, gather direct feedback, and ensure that every interaction is tailored to customer needs. We are also actively exploring alternative importer and agency models to enhance flexibility and optimize our distribution strategy in response to evolving market dynamics. We also own and operate a vehicle service network comprised of service centers in major metropolitan areas and a fleet of mobile service vehicles. In addition to our in-house capabilities, we continue to grow an approved list of specially trained collision repair shops, which in some cases serve as repair hubs for mobile service.</w:t>
      </w:r>
    </w:p>
    <w:p>
      <w:pPr>
        <w:spacing w:after="0" w:line="32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133" w:lineRule="exact"/>
        <w:rPr>
          <w:sz w:val="20"/>
          <w:szCs w:val="20"/>
          <w:color w:val="auto"/>
        </w:rPr>
      </w:pPr>
    </w:p>
    <w:p>
      <w:pPr>
        <w:ind w:left="1220" w:right="1259" w:firstLine="289"/>
        <w:spacing w:after="0" w:line="266" w:lineRule="auto"/>
        <w:rPr>
          <w:sz w:val="20"/>
          <w:szCs w:val="20"/>
          <w:color w:val="auto"/>
        </w:rPr>
      </w:pPr>
      <w:r>
        <w:rPr>
          <w:rFonts w:ascii="Times New Roman" w:cs="Times New Roman" w:eastAsia="Times New Roman" w:hAnsi="Times New Roman"/>
          <w:sz w:val="14"/>
          <w:szCs w:val="14"/>
          <w:color w:val="auto"/>
        </w:rPr>
        <w:t>Lucid Group, Inc. is a Delaware corporation. Our principal executive office is located at 7373 Gateway Boulevard, Newark, CA 94560 and our telephone number is (510) 648-3553. We maintain a website at https://www.lucidmotors.com. The information on, or accessible through, our website is not incorporated by reference in this prospectus or any accompanying prospectus supplement, and you should not consider it a part of this prospectus or any accompanying prospectus supplement. We have included our website address only as an inactive textual reference.</w:t>
      </w:r>
    </w:p>
    <w:p>
      <w:pPr>
        <w:spacing w:after="0" w:line="14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Controlled Company Exemption</w:t>
      </w:r>
    </w:p>
    <w:p>
      <w:pPr>
        <w:spacing w:after="0" w:line="133" w:lineRule="exact"/>
        <w:rPr>
          <w:sz w:val="20"/>
          <w:szCs w:val="20"/>
          <w:color w:val="auto"/>
        </w:rPr>
      </w:pPr>
    </w:p>
    <w:p>
      <w:pPr>
        <w:ind w:left="1220" w:right="1239" w:firstLine="289"/>
        <w:spacing w:after="0" w:line="265" w:lineRule="auto"/>
        <w:rPr>
          <w:sz w:val="20"/>
          <w:szCs w:val="20"/>
          <w:color w:val="auto"/>
        </w:rPr>
      </w:pPr>
      <w:r>
        <w:rPr>
          <w:rFonts w:ascii="Times New Roman" w:cs="Times New Roman" w:eastAsia="Times New Roman" w:hAnsi="Times New Roman"/>
          <w:sz w:val="14"/>
          <w:szCs w:val="14"/>
          <w:color w:val="auto"/>
        </w:rPr>
        <w:t>As of March 31, 2026, PIF, both directly and indirectly through Ayar, held over 50% of the voting power for the election of our directors. As a result, we are a “controlled company” within the meaning of Nasdaq rules and, as a result, qualify for exemptions from certain corporate governance requirements. Our stockholders do not have the same protections afforded to stockholders of companies that are subject to such requirements. Ayar also currently has the ability to nominate five of the eight directors to the Board. On and after April 15, 2026, Ayar is expected to have the ability to nominate five of the nine directors to the Board. Ayar is an affiliate of PIF.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203835</wp:posOffset>
            </wp:positionV>
            <wp:extent cx="5479415" cy="393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5479415"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9" w:name="page10"/>
    <w:bookmarkEnd w:id="9"/>
    <w:p>
      <w:pPr>
        <w:ind w:left="20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31" w:lineRule="exact"/>
        <w:rPr>
          <w:sz w:val="20"/>
          <w:szCs w:val="20"/>
          <w:color w:val="auto"/>
        </w:rPr>
      </w:pPr>
    </w:p>
    <w:p>
      <w:pPr>
        <w:ind w:left="1220" w:right="1259" w:firstLine="289"/>
        <w:spacing w:after="0" w:line="252" w:lineRule="auto"/>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An investment in our common stock involves a high degree of risk. Before making an investment decision, you should carefully consider the following risk factors, in addition to the risks and uncertainties discussed above under “Cautionary Note Regarding Forward -Looking Statements,” together with the risk factors described in our </w:t>
      </w:r>
      <w:hyperlink r:id="rId32">
        <w:r>
          <w:rPr>
            <w:rFonts w:ascii="Times New Roman" w:cs="Times New Roman" w:eastAsia="Times New Roman" w:hAnsi="Times New Roman"/>
            <w:sz w:val="14"/>
            <w:szCs w:val="14"/>
            <w:i w:val="1"/>
            <w:iCs w:val="1"/>
            <w:u w:val="single" w:color="auto"/>
            <w:color w:val="0000EE"/>
          </w:rPr>
          <w:t>Annual Report on Form 10-K for the year ended December 31, 2025</w:t>
        </w:r>
      </w:hyperlink>
      <w:r>
        <w:rPr>
          <w:rFonts w:ascii="Times New Roman" w:cs="Times New Roman" w:eastAsia="Times New Roman" w:hAnsi="Times New Roman"/>
          <w:sz w:val="14"/>
          <w:szCs w:val="14"/>
          <w:i w:val="1"/>
          <w:iCs w:val="1"/>
          <w:color w:val="auto"/>
        </w:rPr>
        <w:t>, as well as the other information contained or incorporated by reference into this prospectus and any accompanying prospectus supplement. The occurrence of one or more of the events or circumstances described in these risk factors, alone or in combination with other events or circumstances, may have an adverse effect on our business, cash flows, financial condition and results of operations. We may face additional risks and uncertainties that are not presently known to us or that we currently deem immaterial, which may also impair our business or financial condition.</w:t>
      </w:r>
    </w:p>
    <w:p>
      <w:pPr>
        <w:spacing w:after="0" w:line="30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Risks Related to the Offerings and Our Common Stock</w:t>
      </w:r>
    </w:p>
    <w:p>
      <w:pPr>
        <w:spacing w:after="0" w:line="184" w:lineRule="exact"/>
        <w:rPr>
          <w:sz w:val="20"/>
          <w:szCs w:val="20"/>
          <w:color w:val="auto"/>
        </w:rPr>
      </w:pPr>
    </w:p>
    <w:p>
      <w:pPr>
        <w:ind w:left="1220" w:right="1339"/>
        <w:spacing w:after="0" w:line="305" w:lineRule="auto"/>
        <w:rPr>
          <w:sz w:val="20"/>
          <w:szCs w:val="20"/>
          <w:color w:val="auto"/>
        </w:rPr>
      </w:pPr>
      <w:r>
        <w:rPr>
          <w:rFonts w:ascii="Times New Roman" w:cs="Times New Roman" w:eastAsia="Times New Roman" w:hAnsi="Times New Roman"/>
          <w:sz w:val="14"/>
          <w:szCs w:val="14"/>
          <w:b w:val="1"/>
          <w:bCs w:val="1"/>
          <w:i w:val="1"/>
          <w:iCs w:val="1"/>
          <w:color w:val="auto"/>
        </w:rPr>
        <w:t>We have broad discretion in the use of the net proceeds from the offerings and may invest or spend the proceeds in ways with which you do not agree and in ways that may not yield a return on your investment.</w:t>
      </w:r>
    </w:p>
    <w:p>
      <w:pPr>
        <w:spacing w:after="0" w:line="50" w:lineRule="exact"/>
        <w:rPr>
          <w:sz w:val="20"/>
          <w:szCs w:val="20"/>
          <w:color w:val="auto"/>
        </w:rPr>
      </w:pPr>
    </w:p>
    <w:p>
      <w:pPr>
        <w:ind w:left="1220" w:right="1339" w:firstLine="289"/>
        <w:spacing w:after="0" w:line="252" w:lineRule="auto"/>
        <w:rPr>
          <w:sz w:val="20"/>
          <w:szCs w:val="20"/>
          <w:color w:val="auto"/>
        </w:rPr>
      </w:pPr>
      <w:r>
        <w:rPr>
          <w:rFonts w:ascii="Times New Roman" w:cs="Times New Roman" w:eastAsia="Times New Roman" w:hAnsi="Times New Roman"/>
          <w:sz w:val="14"/>
          <w:szCs w:val="14"/>
          <w:color w:val="auto"/>
        </w:rPr>
        <w:t>Our management will have broad discretion in the application of the net proceeds from the offerings. You will not have the opportunity, as part of your investment decision, to assess whether the proceeds are being used effectively. Our management might not apply the net proceeds or our existing cash in ways that ultimately increase the value of your investment. If we do not invest or apply the net proceeds from the offerings or our existing cash in ways that enhance stockholder value, we may fail to achieve expected results, which could cause our stock price to decline. Pending their use, we may invest the net proceeds from the offerings in short -term U.S. Treasury securities with insignificant rates of return. These investments may not yield a favorable return to our stockholders.</w:t>
      </w:r>
    </w:p>
    <w:p>
      <w:pPr>
        <w:spacing w:after="0" w:line="307" w:lineRule="exact"/>
        <w:rPr>
          <w:sz w:val="20"/>
          <w:szCs w:val="20"/>
          <w:color w:val="auto"/>
        </w:rPr>
      </w:pPr>
    </w:p>
    <w:p>
      <w:pPr>
        <w:ind w:left="1220" w:right="1379"/>
        <w:spacing w:after="0" w:line="273" w:lineRule="auto"/>
        <w:rPr>
          <w:sz w:val="20"/>
          <w:szCs w:val="20"/>
          <w:color w:val="auto"/>
        </w:rPr>
      </w:pPr>
      <w:r>
        <w:rPr>
          <w:rFonts w:ascii="Times New Roman" w:cs="Times New Roman" w:eastAsia="Times New Roman" w:hAnsi="Times New Roman"/>
          <w:sz w:val="14"/>
          <w:szCs w:val="14"/>
          <w:b w:val="1"/>
          <w:bCs w:val="1"/>
          <w:i w:val="1"/>
          <w:iCs w:val="1"/>
          <w:color w:val="auto"/>
        </w:rPr>
        <w:t>The issuance of additional shares of our common stock or other equity or equity-linked securities, including upon conversion, optional redemption or repurchase of convertible securities, or sales of a significant portion of our common stock, could depress the market price of our common stock.</w:t>
      </w:r>
    </w:p>
    <w:p>
      <w:pPr>
        <w:spacing w:after="0" w:line="72" w:lineRule="exact"/>
        <w:rPr>
          <w:sz w:val="20"/>
          <w:szCs w:val="20"/>
          <w:color w:val="auto"/>
        </w:rPr>
      </w:pPr>
    </w:p>
    <w:p>
      <w:pPr>
        <w:ind w:left="1220" w:right="1299" w:firstLine="289"/>
        <w:spacing w:after="0" w:line="251" w:lineRule="auto"/>
        <w:rPr>
          <w:sz w:val="20"/>
          <w:szCs w:val="20"/>
          <w:color w:val="auto"/>
        </w:rPr>
      </w:pPr>
      <w:r>
        <w:rPr>
          <w:rFonts w:ascii="Times New Roman" w:cs="Times New Roman" w:eastAsia="Times New Roman" w:hAnsi="Times New Roman"/>
          <w:sz w:val="14"/>
          <w:szCs w:val="14"/>
          <w:color w:val="auto"/>
        </w:rPr>
        <w:t>Future issuances of shares of our common stock, or of securities convertible into or exercisable for our common stock, could depress the market price of our common stock and result in significant dilution for holders of our common stock. This includes the potential issuance of a substantial number of shares of our common stock upon the conversion, optional redemption, or repurchase of our Redeemable Convertible Preferred Stock. The Redeemable Convertible Preferred Stock is convertible into our common stock at specified conversion prices, subject to customary anti-dilution adjustments, and the number of shares issuable upon conversion may increase over time due to the compounding of dividends at an initial rate of 9% per annum, which are not subject to any cap or sunset provisions and may accrue in perpetuity. As a result, the number of shares of common stock issuable upon conversion of the Redeemable Convertible Preferred Stock may continue to increase, further diluting the ownership interests of existing common stockholders.</w:t>
      </w:r>
    </w:p>
    <w:p>
      <w:pPr>
        <w:spacing w:after="0" w:line="255" w:lineRule="exact"/>
        <w:rPr>
          <w:sz w:val="20"/>
          <w:szCs w:val="20"/>
          <w:color w:val="auto"/>
        </w:rPr>
      </w:pPr>
    </w:p>
    <w:p>
      <w:pPr>
        <w:ind w:left="1220" w:right="1239" w:firstLine="289"/>
        <w:spacing w:after="0" w:line="251" w:lineRule="auto"/>
        <w:rPr>
          <w:sz w:val="20"/>
          <w:szCs w:val="20"/>
          <w:color w:val="auto"/>
        </w:rPr>
      </w:pPr>
      <w:r>
        <w:rPr>
          <w:rFonts w:ascii="Times New Roman" w:cs="Times New Roman" w:eastAsia="Times New Roman" w:hAnsi="Times New Roman"/>
          <w:sz w:val="14"/>
          <w:szCs w:val="14"/>
          <w:color w:val="auto"/>
        </w:rPr>
        <w:t>In addition, in certain circumstances, including in connection with a mandatory conversion, optional redemption, or a fundamental change (as defined in the respective Certificate of Designations of the Redeemable Convertible Preferred Stock), holders of the Redeemable Convertible Preferred Stock may be entitled to receive “Minimum Consideration (as defined in the respective Certificate of Designations of the Redeemable Convertible Preferred Stock).” If the value of the Minimum Consideration exceeds the Accrued Value (as defined in the respective Certificate of Designations of the Redeemable Convertible Preferred Stock) of the Redeemable Convertible Preferred Stock, we would be required to issue a number of shares of common stock that is presently indeterminable and, particularly if our stock price is substantially below the initial conversion price, such issuances could result in significant dilution to the common stockholders which could have a material adverse effect on the market prices of our common stock and on our financial condition, liquidity, and ability to obtain additional financing.</w:t>
      </w:r>
    </w:p>
    <w:p>
      <w:pPr>
        <w:spacing w:after="0" w:line="87" w:lineRule="exact"/>
        <w:rPr>
          <w:sz w:val="20"/>
          <w:szCs w:val="20"/>
          <w:color w:val="auto"/>
        </w:rPr>
      </w:pPr>
    </w:p>
    <w:p>
      <w:pPr>
        <w:ind w:left="1220" w:right="1419" w:firstLine="289"/>
        <w:spacing w:after="0" w:line="257" w:lineRule="auto"/>
        <w:rPr>
          <w:sz w:val="20"/>
          <w:szCs w:val="20"/>
          <w:color w:val="auto"/>
        </w:rPr>
      </w:pPr>
      <w:r>
        <w:rPr>
          <w:rFonts w:ascii="Times New Roman" w:cs="Times New Roman" w:eastAsia="Times New Roman" w:hAnsi="Times New Roman"/>
          <w:sz w:val="14"/>
          <w:szCs w:val="14"/>
          <w:color w:val="auto"/>
        </w:rPr>
        <w:t>The exercise of our outstanding warrants and options, the vesting and settlement of our restricted stock units and the conversion of our Convertible Senior Notes may also result in additional dilution to holders of our common stock. In the future, we may issue additional shares of our common stock, or securities convertible into or exercisable for common stock, in connection with generating additional capital, future acquisitions, repayment of outstanding indebtedness, under our stock incentive plan, or for other reasons.</w:t>
      </w: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203835</wp:posOffset>
            </wp:positionV>
            <wp:extent cx="5479415" cy="393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5479415"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0" w:name="page11"/>
    <w:bookmarkEnd w:id="10"/>
    <w:p>
      <w:pPr>
        <w:ind w:left="20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220" w:right="1239" w:firstLine="289"/>
        <w:spacing w:after="0" w:line="261" w:lineRule="auto"/>
        <w:rPr>
          <w:sz w:val="20"/>
          <w:szCs w:val="20"/>
          <w:color w:val="auto"/>
        </w:rPr>
      </w:pPr>
      <w:r>
        <w:rPr>
          <w:rFonts w:ascii="Times New Roman" w:cs="Times New Roman" w:eastAsia="Times New Roman" w:hAnsi="Times New Roman"/>
          <w:sz w:val="14"/>
          <w:szCs w:val="14"/>
          <w:color w:val="auto"/>
        </w:rPr>
        <w:t>The market price of shares of our common stock could decline as a result of substantial sales of common stock or securities convertible into shares of common stock, particularly by our significant stockholders, a large number of shares of common stock becoming available for sale or the perception in the market that holders of a large number of shares intend to sell their shares.</w:t>
      </w:r>
    </w:p>
    <w:p>
      <w:pPr>
        <w:spacing w:after="0" w:line="80" w:lineRule="exact"/>
        <w:rPr>
          <w:sz w:val="20"/>
          <w:szCs w:val="20"/>
          <w:color w:val="auto"/>
        </w:rPr>
      </w:pPr>
    </w:p>
    <w:p>
      <w:pPr>
        <w:ind w:left="1220" w:right="1239" w:firstLine="289"/>
        <w:spacing w:after="0" w:line="250" w:lineRule="auto"/>
        <w:rPr>
          <w:sz w:val="20"/>
          <w:szCs w:val="20"/>
          <w:color w:val="auto"/>
        </w:rPr>
      </w:pPr>
      <w:r>
        <w:rPr>
          <w:rFonts w:ascii="Times New Roman" w:cs="Times New Roman" w:eastAsia="Times New Roman" w:hAnsi="Times New Roman"/>
          <w:sz w:val="14"/>
          <w:szCs w:val="14"/>
          <w:color w:val="auto"/>
        </w:rPr>
        <w:t>In addition, pursuant to the Investor Rights Agreement, dated February 22, 2021 (as amended from time-to -time, the “Investor Rights Agreement”), Ayar, and certain other parties thereto are entitled to, among other things, certain registration rights, including demand, piggy-back and shelf registration rights with respect to their shares of common stock (including shares of common stock underlying the Redeemable Convertible Preferred Stock held by Ayar) and Ayar’s shares of the Redeemable Convertible Preferred Stock. We also provided certain registration rights to SMB with respect to the shares of common stock previously issued to it in September 2025 and the shares of common stock to be issued to it pursuant to the subscription agreement the Company entered into with SMB on April 14, 2026. If either pursuant to any registration statement or through another avenue, one or more of these stockholders were to sell a substantial portion of the securities they hold, including any common stock issued upon conversion, redemption or repurchase of our Redeemable Convertible Preferred Stock, it could cause the trading price of our common stock to decline. Furthermore, given Ayar’s substantial concentration in ownership of our common stock and the Redeemable Convertible Preferred Stock, if Ayar were to elect to sell in the open market or in private placement transactions, it could have the effect of increasing the volatility in our stock price or putting significant downward pressure on the price of our common stock.</w:t>
      </w:r>
    </w:p>
    <w:p>
      <w:pPr>
        <w:spacing w:after="0" w:line="313" w:lineRule="exact"/>
        <w:rPr>
          <w:sz w:val="20"/>
          <w:szCs w:val="20"/>
          <w:color w:val="auto"/>
        </w:rPr>
      </w:pPr>
    </w:p>
    <w:p>
      <w:pPr>
        <w:jc w:val="both"/>
        <w:ind w:left="1220" w:right="1439"/>
        <w:spacing w:after="0" w:line="273" w:lineRule="auto"/>
        <w:rPr>
          <w:sz w:val="20"/>
          <w:szCs w:val="20"/>
          <w:color w:val="auto"/>
        </w:rPr>
      </w:pPr>
      <w:r>
        <w:rPr>
          <w:rFonts w:ascii="Times New Roman" w:cs="Times New Roman" w:eastAsia="Times New Roman" w:hAnsi="Times New Roman"/>
          <w:sz w:val="14"/>
          <w:szCs w:val="14"/>
          <w:b w:val="1"/>
          <w:bCs w:val="1"/>
          <w:i w:val="1"/>
          <w:iCs w:val="1"/>
          <w:color w:val="auto"/>
        </w:rPr>
        <w:t>Securities or industry analysts may or may not publish research or reports about us, our business, our market, or change their recommendations regarding our common stock adversely, which could cause the price and trading volume of our common stock to decline.</w:t>
      </w:r>
    </w:p>
    <w:p>
      <w:pPr>
        <w:spacing w:after="0" w:line="72" w:lineRule="exact"/>
        <w:rPr>
          <w:sz w:val="20"/>
          <w:szCs w:val="20"/>
          <w:color w:val="auto"/>
        </w:rPr>
      </w:pPr>
    </w:p>
    <w:p>
      <w:pPr>
        <w:ind w:left="1220" w:right="1239" w:firstLine="289"/>
        <w:spacing w:after="0" w:line="283" w:lineRule="auto"/>
        <w:rPr>
          <w:sz w:val="20"/>
          <w:szCs w:val="20"/>
          <w:color w:val="auto"/>
        </w:rPr>
      </w:pPr>
      <w:r>
        <w:rPr>
          <w:rFonts w:ascii="Times New Roman" w:cs="Times New Roman" w:eastAsia="Times New Roman" w:hAnsi="Times New Roman"/>
          <w:sz w:val="14"/>
          <w:szCs w:val="14"/>
          <w:color w:val="auto"/>
        </w:rPr>
        <w:t>The trading market for our common stock can be influenced by the research and reports that industry or securities analysts may publish about us, our business and operations, our market, or our competitors.</w:t>
      </w:r>
    </w:p>
    <w:p>
      <w:pPr>
        <w:spacing w:after="0" w:line="64" w:lineRule="exact"/>
        <w:rPr>
          <w:sz w:val="20"/>
          <w:szCs w:val="20"/>
          <w:color w:val="auto"/>
        </w:rPr>
      </w:pPr>
    </w:p>
    <w:p>
      <w:pPr>
        <w:ind w:left="1220" w:right="1279" w:firstLine="289"/>
        <w:spacing w:after="0" w:line="257" w:lineRule="auto"/>
        <w:rPr>
          <w:sz w:val="20"/>
          <w:szCs w:val="20"/>
          <w:color w:val="auto"/>
        </w:rPr>
      </w:pPr>
      <w:r>
        <w:rPr>
          <w:rFonts w:ascii="Times New Roman" w:cs="Times New Roman" w:eastAsia="Times New Roman" w:hAnsi="Times New Roman"/>
          <w:sz w:val="14"/>
          <w:szCs w:val="14"/>
          <w:color w:val="auto"/>
        </w:rPr>
        <w:t>Similarly, if any of the analysts who do cover us change their recommendation regarding our stock adversely, or provide more favorable relative recommendations about our competitors, the price of our common stock may decline. If any analyst who covers us were to cease coverage of us or fail to regularly publish reports on us, we could lose visibility in the financial markets, which could cause our stock price or trading volume to decline.</w:t>
      </w:r>
    </w:p>
    <w:p>
      <w:pPr>
        <w:spacing w:after="0" w:line="314" w:lineRule="exact"/>
        <w:rPr>
          <w:sz w:val="20"/>
          <w:szCs w:val="20"/>
          <w:color w:val="auto"/>
        </w:rPr>
      </w:pPr>
    </w:p>
    <w:p>
      <w:pPr>
        <w:ind w:left="1220" w:right="1299"/>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The price of our common stock has been, and may continue to be, volatile, and this volatility may negatively impact the trading price of our common stock.</w:t>
      </w:r>
    </w:p>
    <w:p>
      <w:pPr>
        <w:spacing w:after="0" w:line="60" w:lineRule="exact"/>
        <w:rPr>
          <w:sz w:val="20"/>
          <w:szCs w:val="20"/>
          <w:color w:val="auto"/>
        </w:rPr>
      </w:pPr>
    </w:p>
    <w:p>
      <w:pPr>
        <w:ind w:left="1220" w:right="1239" w:firstLine="289"/>
        <w:spacing w:after="0" w:line="252" w:lineRule="auto"/>
        <w:rPr>
          <w:sz w:val="20"/>
          <w:szCs w:val="20"/>
          <w:color w:val="auto"/>
        </w:rPr>
      </w:pPr>
      <w:r>
        <w:rPr>
          <w:rFonts w:ascii="Times New Roman" w:cs="Times New Roman" w:eastAsia="Times New Roman" w:hAnsi="Times New Roman"/>
          <w:sz w:val="14"/>
          <w:szCs w:val="14"/>
          <w:color w:val="auto"/>
        </w:rPr>
        <w:t>The trading price of our common stock has fluctuated substantially. The trading price of our common stock depends on many factors, including those described elsewhere in this “Risk Factors” section, many of which are beyond our control and may not be related to our operating performance. These fluctuations could cause investors to lose all or part of the investment in our common stock since investors might be unable to sell them at or above the price the investor paid for them. Any of the factors listed below could have a material adverse effect on your investment in our common stock and our common stock may trade at prices significantly below the price you paid for it. In such circumstances, the trading price of our common stock may not recover and may experience a further decline.</w:t>
      </w:r>
    </w:p>
    <w:p>
      <w:pPr>
        <w:spacing w:after="0" w:line="8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Factors affecting the trading price of our common stock may include:</w:t>
      </w:r>
    </w:p>
    <w:p>
      <w:pPr>
        <w:spacing w:after="0" w:line="99" w:lineRule="exact"/>
        <w:rPr>
          <w:sz w:val="20"/>
          <w:szCs w:val="20"/>
          <w:color w:val="auto"/>
        </w:rPr>
      </w:pPr>
    </w:p>
    <w:p>
      <w:pPr>
        <w:ind w:left="1640" w:hanging="140"/>
        <w:spacing w:after="0"/>
        <w:tabs>
          <w:tab w:leader="none" w:pos="16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conditions in the broader stock market in general, or in our industry in particular;</w:t>
      </w:r>
    </w:p>
    <w:p>
      <w:pPr>
        <w:spacing w:after="0" w:line="98" w:lineRule="exact"/>
        <w:rPr>
          <w:rFonts w:ascii="Times New Roman" w:cs="Times New Roman" w:eastAsia="Times New Roman" w:hAnsi="Times New Roman"/>
          <w:sz w:val="14"/>
          <w:szCs w:val="14"/>
          <w:color w:val="auto"/>
        </w:rPr>
      </w:pPr>
    </w:p>
    <w:p>
      <w:pPr>
        <w:ind w:left="1640" w:right="1659" w:hanging="140"/>
        <w:spacing w:after="0" w:line="299" w:lineRule="auto"/>
        <w:tabs>
          <w:tab w:leader="none" w:pos="16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fluctuations in our quarterly financial or operating results or the quarterly financial or operating results of companies perceived to be similar to ours;</w:t>
      </w:r>
    </w:p>
    <w:p>
      <w:pPr>
        <w:spacing w:after="0" w:line="32" w:lineRule="exact"/>
        <w:rPr>
          <w:rFonts w:ascii="Times New Roman" w:cs="Times New Roman" w:eastAsia="Times New Roman" w:hAnsi="Times New Roman"/>
          <w:sz w:val="14"/>
          <w:szCs w:val="14"/>
          <w:color w:val="auto"/>
        </w:rPr>
      </w:pPr>
    </w:p>
    <w:p>
      <w:pPr>
        <w:ind w:left="1640" w:hanging="140"/>
        <w:spacing w:after="0"/>
        <w:tabs>
          <w:tab w:leader="none" w:pos="16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market’s expectations about our operating results;</w:t>
      </w:r>
    </w:p>
    <w:p>
      <w:pPr>
        <w:spacing w:after="0" w:line="98" w:lineRule="exact"/>
        <w:rPr>
          <w:rFonts w:ascii="Times New Roman" w:cs="Times New Roman" w:eastAsia="Times New Roman" w:hAnsi="Times New Roman"/>
          <w:sz w:val="14"/>
          <w:szCs w:val="14"/>
          <w:color w:val="auto"/>
        </w:rPr>
      </w:pPr>
    </w:p>
    <w:p>
      <w:pPr>
        <w:ind w:left="1640" w:hanging="140"/>
        <w:spacing w:after="0"/>
        <w:tabs>
          <w:tab w:leader="none" w:pos="16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public’s reaction to our press releases, other public announcements and filings with the SEC;</w:t>
      </w:r>
    </w:p>
    <w:p>
      <w:pPr>
        <w:spacing w:after="0" w:line="98" w:lineRule="exact"/>
        <w:rPr>
          <w:rFonts w:ascii="Times New Roman" w:cs="Times New Roman" w:eastAsia="Times New Roman" w:hAnsi="Times New Roman"/>
          <w:sz w:val="14"/>
          <w:szCs w:val="14"/>
          <w:color w:val="auto"/>
        </w:rPr>
      </w:pPr>
    </w:p>
    <w:p>
      <w:pPr>
        <w:ind w:left="1640" w:right="1299" w:hanging="140"/>
        <w:spacing w:after="0" w:line="291" w:lineRule="auto"/>
        <w:tabs>
          <w:tab w:leader="none" w:pos="16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public’s reaction to financial projections and any other guidance or metrics that we may publicly disclose, including any decision to adjust or withdraw such financial projections, guidance or metrics;</w:t>
      </w: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203835</wp:posOffset>
            </wp:positionV>
            <wp:extent cx="5479415" cy="393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5479415"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1" w:name="page12"/>
    <w:bookmarkEnd w:id="11"/>
    <w:p>
      <w:pPr>
        <w:ind w:left="20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640" w:hanging="140"/>
        <w:spacing w:after="0"/>
        <w:tabs>
          <w:tab w:leader="none" w:pos="1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speculation in the press or investment community;</w:t>
      </w:r>
    </w:p>
    <w:p>
      <w:pPr>
        <w:spacing w:after="0" w:line="98" w:lineRule="exact"/>
        <w:rPr>
          <w:rFonts w:ascii="Times New Roman" w:cs="Times New Roman" w:eastAsia="Times New Roman" w:hAnsi="Times New Roman"/>
          <w:sz w:val="14"/>
          <w:szCs w:val="14"/>
          <w:color w:val="auto"/>
        </w:rPr>
      </w:pPr>
    </w:p>
    <w:p>
      <w:pPr>
        <w:ind w:left="1640" w:right="1659" w:hanging="140"/>
        <w:spacing w:after="0" w:line="299" w:lineRule="auto"/>
        <w:tabs>
          <w:tab w:leader="none" w:pos="1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developments in our business, competitors’ businesses or the competitive landscape generally;</w:t>
      </w:r>
    </w:p>
    <w:p>
      <w:pPr>
        <w:spacing w:after="0" w:line="32" w:lineRule="exact"/>
        <w:rPr>
          <w:rFonts w:ascii="Times New Roman" w:cs="Times New Roman" w:eastAsia="Times New Roman" w:hAnsi="Times New Roman"/>
          <w:sz w:val="14"/>
          <w:szCs w:val="14"/>
          <w:color w:val="auto"/>
        </w:rPr>
      </w:pPr>
    </w:p>
    <w:p>
      <w:pPr>
        <w:ind w:left="1640" w:hanging="140"/>
        <w:spacing w:after="0"/>
        <w:tabs>
          <w:tab w:leader="none" w:pos="1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lower-than-anticipated industry-wide EV adoption rates or perception that EV demand is slowing;</w:t>
      </w:r>
    </w:p>
    <w:p>
      <w:pPr>
        <w:spacing w:after="0" w:line="98" w:lineRule="exact"/>
        <w:rPr>
          <w:rFonts w:ascii="Times New Roman" w:cs="Times New Roman" w:eastAsia="Times New Roman" w:hAnsi="Times New Roman"/>
          <w:sz w:val="14"/>
          <w:szCs w:val="14"/>
          <w:color w:val="auto"/>
        </w:rPr>
      </w:pPr>
    </w:p>
    <w:p>
      <w:pPr>
        <w:ind w:left="1640" w:right="1319" w:hanging="140"/>
        <w:spacing w:after="0" w:line="269" w:lineRule="auto"/>
        <w:tabs>
          <w:tab w:leader="none" w:pos="1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operating results failing to meet the expectation of securities analysts or investors in a particular period;</w:t>
      </w:r>
    </w:p>
    <w:p>
      <w:pPr>
        <w:spacing w:after="0" w:line="241" w:lineRule="exact"/>
        <w:rPr>
          <w:rFonts w:ascii="Times New Roman" w:cs="Times New Roman" w:eastAsia="Times New Roman" w:hAnsi="Times New Roman"/>
          <w:sz w:val="14"/>
          <w:szCs w:val="14"/>
          <w:color w:val="auto"/>
        </w:rPr>
      </w:pPr>
    </w:p>
    <w:p>
      <w:pPr>
        <w:ind w:left="1640" w:right="1459" w:hanging="140"/>
        <w:spacing w:after="0" w:line="299" w:lineRule="auto"/>
        <w:tabs>
          <w:tab w:leader="none" w:pos="1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the achievement of objectives under our business plan and the timing and amount of costs we incur in connection therewith;</w:t>
      </w:r>
    </w:p>
    <w:p>
      <w:pPr>
        <w:spacing w:after="0" w:line="32" w:lineRule="exact"/>
        <w:rPr>
          <w:rFonts w:ascii="Times New Roman" w:cs="Times New Roman" w:eastAsia="Times New Roman" w:hAnsi="Times New Roman"/>
          <w:sz w:val="14"/>
          <w:szCs w:val="14"/>
          <w:color w:val="auto"/>
        </w:rPr>
      </w:pPr>
    </w:p>
    <w:p>
      <w:pPr>
        <w:ind w:left="1640" w:right="1599" w:hanging="140"/>
        <w:spacing w:after="0" w:line="299" w:lineRule="auto"/>
        <w:tabs>
          <w:tab w:leader="none" w:pos="1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financial estimates and recommendations by securities analysts concerning us or the market in general;</w:t>
      </w:r>
    </w:p>
    <w:p>
      <w:pPr>
        <w:spacing w:after="0" w:line="32" w:lineRule="exact"/>
        <w:rPr>
          <w:rFonts w:ascii="Times New Roman" w:cs="Times New Roman" w:eastAsia="Times New Roman" w:hAnsi="Times New Roman"/>
          <w:sz w:val="14"/>
          <w:szCs w:val="14"/>
          <w:color w:val="auto"/>
        </w:rPr>
      </w:pPr>
    </w:p>
    <w:p>
      <w:pPr>
        <w:ind w:left="1640" w:hanging="140"/>
        <w:spacing w:after="0"/>
        <w:tabs>
          <w:tab w:leader="none" w:pos="1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and stock price performance of other companies that investors deem comparable to ours;</w:t>
      </w:r>
    </w:p>
    <w:p>
      <w:pPr>
        <w:spacing w:after="0" w:line="98" w:lineRule="exact"/>
        <w:rPr>
          <w:rFonts w:ascii="Times New Roman" w:cs="Times New Roman" w:eastAsia="Times New Roman" w:hAnsi="Times New Roman"/>
          <w:sz w:val="14"/>
          <w:szCs w:val="14"/>
          <w:color w:val="auto"/>
        </w:rPr>
      </w:pPr>
    </w:p>
    <w:p>
      <w:pPr>
        <w:ind w:left="1640" w:hanging="140"/>
        <w:spacing w:after="0"/>
        <w:tabs>
          <w:tab w:leader="none" w:pos="1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reaction to any of our strategic partners;</w:t>
      </w:r>
    </w:p>
    <w:p>
      <w:pPr>
        <w:spacing w:after="0" w:line="98" w:lineRule="exact"/>
        <w:rPr>
          <w:rFonts w:ascii="Times New Roman" w:cs="Times New Roman" w:eastAsia="Times New Roman" w:hAnsi="Times New Roman"/>
          <w:sz w:val="14"/>
          <w:szCs w:val="14"/>
          <w:color w:val="auto"/>
        </w:rPr>
      </w:pPr>
    </w:p>
    <w:p>
      <w:pPr>
        <w:ind w:left="1640" w:hanging="140"/>
        <w:spacing w:after="0"/>
        <w:tabs>
          <w:tab w:leader="none" w:pos="1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laws and regulations affecting our business;</w:t>
      </w:r>
    </w:p>
    <w:p>
      <w:pPr>
        <w:spacing w:after="0" w:line="98" w:lineRule="exact"/>
        <w:rPr>
          <w:rFonts w:ascii="Times New Roman" w:cs="Times New Roman" w:eastAsia="Times New Roman" w:hAnsi="Times New Roman"/>
          <w:sz w:val="14"/>
          <w:szCs w:val="14"/>
          <w:color w:val="auto"/>
        </w:rPr>
      </w:pPr>
    </w:p>
    <w:p>
      <w:pPr>
        <w:ind w:left="1640" w:hanging="140"/>
        <w:spacing w:after="0"/>
        <w:tabs>
          <w:tab w:leader="none" w:pos="1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commencement of, or involvement in, litigation or investigations involving us;</w:t>
      </w:r>
    </w:p>
    <w:p>
      <w:pPr>
        <w:spacing w:after="0" w:line="98" w:lineRule="exact"/>
        <w:rPr>
          <w:rFonts w:ascii="Times New Roman" w:cs="Times New Roman" w:eastAsia="Times New Roman" w:hAnsi="Times New Roman"/>
          <w:sz w:val="14"/>
          <w:szCs w:val="14"/>
          <w:color w:val="auto"/>
        </w:rPr>
      </w:pPr>
    </w:p>
    <w:p>
      <w:pPr>
        <w:ind w:left="1640" w:right="1299" w:hanging="140"/>
        <w:spacing w:after="0" w:line="269" w:lineRule="auto"/>
        <w:tabs>
          <w:tab w:leader="none" w:pos="1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capital structure, such as future issuances of securities or the incurrence of additional debt;</w:t>
      </w:r>
    </w:p>
    <w:p>
      <w:pPr>
        <w:spacing w:after="0" w:line="252" w:lineRule="exact"/>
        <w:rPr>
          <w:rFonts w:ascii="Times New Roman" w:cs="Times New Roman" w:eastAsia="Times New Roman" w:hAnsi="Times New Roman"/>
          <w:sz w:val="14"/>
          <w:szCs w:val="14"/>
          <w:color w:val="auto"/>
        </w:rPr>
      </w:pPr>
    </w:p>
    <w:p>
      <w:pPr>
        <w:ind w:left="1640" w:right="1319" w:hanging="140"/>
        <w:spacing w:after="0" w:line="299" w:lineRule="auto"/>
        <w:tabs>
          <w:tab w:leader="none" w:pos="1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volume of our common stock available for public sale, including as a result of conversion of our Redeemable Convertible Preferred Stock or our Convertible Senior Notes;</w:t>
      </w:r>
    </w:p>
    <w:p>
      <w:pPr>
        <w:spacing w:after="0" w:line="21" w:lineRule="exact"/>
        <w:rPr>
          <w:rFonts w:ascii="Times New Roman" w:cs="Times New Roman" w:eastAsia="Times New Roman" w:hAnsi="Times New Roman"/>
          <w:sz w:val="14"/>
          <w:szCs w:val="14"/>
          <w:color w:val="auto"/>
        </w:rPr>
      </w:pPr>
    </w:p>
    <w:p>
      <w:pPr>
        <w:ind w:left="1640" w:hanging="140"/>
        <w:spacing w:after="0"/>
        <w:tabs>
          <w:tab w:leader="none" w:pos="1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major change in our Board or management;</w:t>
      </w:r>
    </w:p>
    <w:p>
      <w:pPr>
        <w:spacing w:after="0" w:line="98" w:lineRule="exact"/>
        <w:rPr>
          <w:rFonts w:ascii="Times New Roman" w:cs="Times New Roman" w:eastAsia="Times New Roman" w:hAnsi="Times New Roman"/>
          <w:sz w:val="14"/>
          <w:szCs w:val="14"/>
          <w:color w:val="auto"/>
        </w:rPr>
      </w:pPr>
    </w:p>
    <w:p>
      <w:pPr>
        <w:ind w:left="1640" w:right="1979" w:hanging="140"/>
        <w:spacing w:after="0" w:line="299" w:lineRule="auto"/>
        <w:tabs>
          <w:tab w:leader="none" w:pos="1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of substantial amounts of our common stock by our directors, officers or significant stockholders or the perception that such sales could occur;</w:t>
      </w:r>
    </w:p>
    <w:p>
      <w:pPr>
        <w:spacing w:after="0" w:line="32" w:lineRule="exact"/>
        <w:rPr>
          <w:rFonts w:ascii="Times New Roman" w:cs="Times New Roman" w:eastAsia="Times New Roman" w:hAnsi="Times New Roman"/>
          <w:sz w:val="14"/>
          <w:szCs w:val="14"/>
          <w:color w:val="auto"/>
        </w:rPr>
      </w:pPr>
    </w:p>
    <w:p>
      <w:pPr>
        <w:ind w:left="1640" w:right="1239" w:hanging="140"/>
        <w:spacing w:after="0" w:line="270" w:lineRule="auto"/>
        <w:tabs>
          <w:tab w:leader="none" w:pos="1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and political conditions, such as uncertainties in trade policies, the imposition or proposed imposition of tariffs, export controls, threat of a trade war, recessions, interest rate changes, inflation, bank closures and liquidity concerns at financial institutions, changes in diplomatic and trade relationships, fluctuations in foreign currency exchange rates, acts of war or terrorism, and natural disasters; and</w:t>
      </w:r>
    </w:p>
    <w:p>
      <w:pPr>
        <w:spacing w:after="0" w:line="228" w:lineRule="exact"/>
        <w:rPr>
          <w:rFonts w:ascii="Times New Roman" w:cs="Times New Roman" w:eastAsia="Times New Roman" w:hAnsi="Times New Roman"/>
          <w:sz w:val="14"/>
          <w:szCs w:val="14"/>
          <w:color w:val="auto"/>
        </w:rPr>
      </w:pPr>
    </w:p>
    <w:p>
      <w:pPr>
        <w:ind w:left="1640" w:hanging="140"/>
        <w:spacing w:after="0"/>
        <w:tabs>
          <w:tab w:leader="none" w:pos="1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risk factors listed in this section “Risk Factors.”</w:t>
      </w:r>
    </w:p>
    <w:p>
      <w:pPr>
        <w:spacing w:after="0" w:line="131" w:lineRule="exact"/>
        <w:rPr>
          <w:sz w:val="20"/>
          <w:szCs w:val="20"/>
          <w:color w:val="auto"/>
        </w:rPr>
      </w:pPr>
    </w:p>
    <w:p>
      <w:pPr>
        <w:ind w:left="1220" w:right="1239" w:firstLine="289"/>
        <w:spacing w:after="0" w:line="251" w:lineRule="auto"/>
        <w:rPr>
          <w:sz w:val="20"/>
          <w:szCs w:val="20"/>
          <w:color w:val="auto"/>
        </w:rPr>
      </w:pPr>
      <w:r>
        <w:rPr>
          <w:rFonts w:ascii="Times New Roman" w:cs="Times New Roman" w:eastAsia="Times New Roman" w:hAnsi="Times New Roman"/>
          <w:sz w:val="14"/>
          <w:szCs w:val="14"/>
          <w:color w:val="auto"/>
        </w:rPr>
        <w:t>Broad market and industry factors may materially harm the market price of our securities irrespective of our operating performance. The stock market in general and Nasdaq have experienced extreme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ours could depress our stock price regardless of our business, prospects, financial conditions or results of operations. Broad market and industry factors, including global or regional conflicts and other geopolitical events, natural disasters, and any other global pandemics, as well as general economic, political and market conditions such as recessions, inflation, bank closures and liquidity concerns at financial institutions, or interest rate changes, may seriously affect the market price of our common stock and other securities, regardless of our actual operating performance. A decline in the market price of our securities also could adversely affect our ability to issue additional securities and our ability to obtain additional financing in the future.</w:t>
      </w:r>
    </w:p>
    <w:p>
      <w:pPr>
        <w:spacing w:after="0" w:line="254" w:lineRule="exact"/>
        <w:rPr>
          <w:sz w:val="20"/>
          <w:szCs w:val="20"/>
          <w:color w:val="auto"/>
        </w:rPr>
      </w:pPr>
    </w:p>
    <w:p>
      <w:pPr>
        <w:ind w:left="1220" w:right="1239" w:firstLine="289"/>
        <w:spacing w:after="0" w:line="251" w:lineRule="auto"/>
        <w:rPr>
          <w:sz w:val="20"/>
          <w:szCs w:val="20"/>
          <w:color w:val="auto"/>
        </w:rPr>
      </w:pPr>
      <w:r>
        <w:rPr>
          <w:rFonts w:ascii="Times New Roman" w:cs="Times New Roman" w:eastAsia="Times New Roman" w:hAnsi="Times New Roman"/>
          <w:sz w:val="14"/>
          <w:szCs w:val="14"/>
          <w:color w:val="auto"/>
        </w:rPr>
        <w:t>Furthermore, the stock markets in general, and the markets for technology and EV stocks in particular, have experienced extreme volatility that has sometimes been unrelated to the operating performance of the companies. The trading price of our common stock may be adversely affected by third parties trying to drive down or drive up the market price. Short sellers and others may be positioned to profit if our stock declines or otherwise exhibits volatility, and their activities can negatively affect our stock price and increase the volatility of our stock price. These broad market and industry factors may seriously harm the market price of our common stock, regardless of our operating performance. In addition, hedging activity by holders</w:t>
      </w:r>
    </w:p>
    <w:p>
      <w:pPr>
        <w:spacing w:after="0" w:line="2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203835</wp:posOffset>
            </wp:positionV>
            <wp:extent cx="5479415" cy="393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5479415"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2" w:name="page13"/>
    <w:bookmarkEnd w:id="12"/>
    <w:p>
      <w:pPr>
        <w:ind w:left="20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220" w:right="1279"/>
        <w:spacing w:after="0" w:line="270" w:lineRule="auto"/>
        <w:rPr>
          <w:sz w:val="20"/>
          <w:szCs w:val="20"/>
          <w:color w:val="auto"/>
        </w:rPr>
      </w:pPr>
      <w:r>
        <w:rPr>
          <w:rFonts w:ascii="Times New Roman" w:cs="Times New Roman" w:eastAsia="Times New Roman" w:hAnsi="Times New Roman"/>
          <w:sz w:val="14"/>
          <w:szCs w:val="14"/>
          <w:color w:val="auto"/>
        </w:rPr>
        <w:t>of the Convertible Senior Notes may impact the market price of our common stock, in particular during any redemption conversion period in connection with a redemption of the Convertible Senior Notes or any observation period for a conversion of the Convertible Senior Notes.</w:t>
      </w:r>
    </w:p>
    <w:p>
      <w:pPr>
        <w:spacing w:after="0" w:line="74" w:lineRule="exact"/>
        <w:rPr>
          <w:sz w:val="20"/>
          <w:szCs w:val="20"/>
          <w:color w:val="auto"/>
        </w:rPr>
      </w:pPr>
    </w:p>
    <w:p>
      <w:pPr>
        <w:ind w:left="1220" w:right="1239" w:firstLine="289"/>
        <w:spacing w:after="0" w:line="256" w:lineRule="auto"/>
        <w:rPr>
          <w:sz w:val="20"/>
          <w:szCs w:val="20"/>
          <w:color w:val="auto"/>
        </w:rPr>
      </w:pPr>
      <w:r>
        <w:rPr>
          <w:rFonts w:ascii="Times New Roman" w:cs="Times New Roman" w:eastAsia="Times New Roman" w:hAnsi="Times New Roman"/>
          <w:sz w:val="14"/>
          <w:szCs w:val="14"/>
          <w:color w:val="auto"/>
        </w:rPr>
        <w:t>In addition, in the past, following periods of volatility in the overall market and the market prices of particular companies’ securities, securities class action litigations have often been instituted against these companies. Litigation of this type, if instituted against us, could result in substantial costs and a diversion of our management’s attention and resources. Any adverse determination in any such litigation or any amounts paid to settle any such actual or threatened litigation could require that we make significant payments.</w:t>
      </w:r>
    </w:p>
    <w:p>
      <w:pPr>
        <w:spacing w:after="0" w:line="145" w:lineRule="exact"/>
        <w:rPr>
          <w:sz w:val="20"/>
          <w:szCs w:val="20"/>
          <w:color w:val="auto"/>
        </w:rPr>
      </w:pPr>
    </w:p>
    <w:p>
      <w:pPr>
        <w:ind w:left="1220" w:right="1219"/>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Our substantial indebtedness could adversely affect our financial condition and our ability to raise additional capital to fund our operations and limit our ability to react to changes in the economy.</w:t>
      </w:r>
    </w:p>
    <w:p>
      <w:pPr>
        <w:spacing w:after="0" w:line="60" w:lineRule="exact"/>
        <w:rPr>
          <w:sz w:val="20"/>
          <w:szCs w:val="20"/>
          <w:color w:val="auto"/>
        </w:rPr>
      </w:pPr>
    </w:p>
    <w:p>
      <w:pPr>
        <w:ind w:left="1220" w:right="1239" w:firstLine="289"/>
        <w:spacing w:after="0" w:line="263" w:lineRule="auto"/>
        <w:rPr>
          <w:sz w:val="20"/>
          <w:szCs w:val="20"/>
          <w:color w:val="auto"/>
        </w:rPr>
      </w:pPr>
      <w:r>
        <w:rPr>
          <w:rFonts w:ascii="Times New Roman" w:cs="Times New Roman" w:eastAsia="Times New Roman" w:hAnsi="Times New Roman"/>
          <w:sz w:val="14"/>
          <w:szCs w:val="14"/>
          <w:color w:val="auto"/>
        </w:rPr>
        <w:t>We are a highly leveraged company. As of December 31, 2025, we and our subsidiaries had approximately $2.7 billion of indebtedness for borrowed money and we and our subsidiaries had availability of approximately $2.4 billion under the existing loan agreements and credit facilities subject to certain covenants.</w:t>
      </w:r>
    </w:p>
    <w:p>
      <w:pPr>
        <w:spacing w:after="0" w:line="25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Our substantial indebtedness could have important consequences to you. For example, it could:</w:t>
      </w:r>
    </w:p>
    <w:p>
      <w:pPr>
        <w:spacing w:after="0" w:line="99" w:lineRule="exact"/>
        <w:rPr>
          <w:sz w:val="20"/>
          <w:szCs w:val="20"/>
          <w:color w:val="auto"/>
        </w:rPr>
      </w:pPr>
    </w:p>
    <w:p>
      <w:pPr>
        <w:ind w:left="1640" w:hanging="140"/>
        <w:spacing w:after="0"/>
        <w:tabs>
          <w:tab w:leader="none" w:pos="1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 our vulnerability to general adverse economic and industry conditions;</w:t>
      </w:r>
    </w:p>
    <w:p>
      <w:pPr>
        <w:spacing w:after="0" w:line="98" w:lineRule="exact"/>
        <w:rPr>
          <w:rFonts w:ascii="Times New Roman" w:cs="Times New Roman" w:eastAsia="Times New Roman" w:hAnsi="Times New Roman"/>
          <w:sz w:val="14"/>
          <w:szCs w:val="14"/>
          <w:color w:val="auto"/>
        </w:rPr>
      </w:pPr>
    </w:p>
    <w:p>
      <w:pPr>
        <w:jc w:val="both"/>
        <w:ind w:left="1640" w:right="1579" w:hanging="140"/>
        <w:spacing w:after="0" w:line="278" w:lineRule="auto"/>
        <w:tabs>
          <w:tab w:leader="none" w:pos="1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us to dedicate a substantial portion of our cash flow from operations to payments on our indebtedness, thereby reducing the availability of our cash flow to fund working capital, capital expenditures and other general corporate purposes;</w:t>
      </w:r>
    </w:p>
    <w:p>
      <w:pPr>
        <w:spacing w:after="0" w:line="36" w:lineRule="exact"/>
        <w:rPr>
          <w:rFonts w:ascii="Times New Roman" w:cs="Times New Roman" w:eastAsia="Times New Roman" w:hAnsi="Times New Roman"/>
          <w:sz w:val="14"/>
          <w:szCs w:val="14"/>
          <w:color w:val="auto"/>
        </w:rPr>
      </w:pPr>
    </w:p>
    <w:p>
      <w:pPr>
        <w:ind w:left="1640" w:right="1299" w:hanging="140"/>
        <w:spacing w:after="0" w:line="299" w:lineRule="auto"/>
        <w:tabs>
          <w:tab w:leader="none" w:pos="1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 our flexibility in planning for, or reacting to, changes in our business and the industry in which we operate;</w:t>
      </w:r>
    </w:p>
    <w:p>
      <w:pPr>
        <w:spacing w:after="0" w:line="32" w:lineRule="exact"/>
        <w:rPr>
          <w:rFonts w:ascii="Times New Roman" w:cs="Times New Roman" w:eastAsia="Times New Roman" w:hAnsi="Times New Roman"/>
          <w:sz w:val="14"/>
          <w:szCs w:val="14"/>
          <w:color w:val="auto"/>
        </w:rPr>
      </w:pPr>
    </w:p>
    <w:p>
      <w:pPr>
        <w:ind w:left="1640" w:hanging="140"/>
        <w:spacing w:after="0"/>
        <w:tabs>
          <w:tab w:leader="none" w:pos="1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place us at a competitive disadvantage compared to our competitors that have less debt; and</w:t>
      </w:r>
    </w:p>
    <w:p>
      <w:pPr>
        <w:spacing w:after="0" w:line="98" w:lineRule="exact"/>
        <w:rPr>
          <w:rFonts w:ascii="Times New Roman" w:cs="Times New Roman" w:eastAsia="Times New Roman" w:hAnsi="Times New Roman"/>
          <w:sz w:val="14"/>
          <w:szCs w:val="14"/>
          <w:color w:val="auto"/>
        </w:rPr>
      </w:pPr>
    </w:p>
    <w:p>
      <w:pPr>
        <w:ind w:left="1640" w:right="1299" w:hanging="140"/>
        <w:spacing w:after="0" w:line="299" w:lineRule="auto"/>
        <w:tabs>
          <w:tab w:leader="none" w:pos="1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 our ability to obtain additional financing for working capital, capital expenditures, acquisitions or general corporate purposes.</w:t>
      </w:r>
    </w:p>
    <w:p>
      <w:pPr>
        <w:spacing w:after="0" w:line="115" w:lineRule="exact"/>
        <w:rPr>
          <w:sz w:val="20"/>
          <w:szCs w:val="20"/>
          <w:color w:val="auto"/>
        </w:rPr>
      </w:pPr>
    </w:p>
    <w:p>
      <w:pPr>
        <w:ind w:left="1220" w:right="1379"/>
        <w:spacing w:after="0" w:line="273" w:lineRule="auto"/>
        <w:rPr>
          <w:sz w:val="20"/>
          <w:szCs w:val="20"/>
          <w:color w:val="auto"/>
        </w:rPr>
      </w:pPr>
      <w:r>
        <w:rPr>
          <w:rFonts w:ascii="Times New Roman" w:cs="Times New Roman" w:eastAsia="Times New Roman" w:hAnsi="Times New Roman"/>
          <w:sz w:val="14"/>
          <w:szCs w:val="14"/>
          <w:b w:val="1"/>
          <w:bCs w:val="1"/>
          <w:i w:val="1"/>
          <w:iCs w:val="1"/>
          <w:color w:val="auto"/>
        </w:rPr>
        <w:t>We are a “controlled company” within the meaning of the applicable Nasdaq rules and, as a result, qualify for exemptions from certain corporate governance requirements. Our stockholders will not have the same protections afforded to stockholders of companies that are not controlled companies.</w:t>
      </w:r>
    </w:p>
    <w:p>
      <w:pPr>
        <w:spacing w:after="0" w:line="72" w:lineRule="exact"/>
        <w:rPr>
          <w:sz w:val="20"/>
          <w:szCs w:val="20"/>
          <w:color w:val="auto"/>
        </w:rPr>
      </w:pPr>
    </w:p>
    <w:p>
      <w:pPr>
        <w:ind w:left="1220" w:right="1259" w:firstLine="289"/>
        <w:spacing w:after="0" w:line="249" w:lineRule="auto"/>
        <w:rPr>
          <w:sz w:val="20"/>
          <w:szCs w:val="20"/>
          <w:color w:val="auto"/>
        </w:rPr>
      </w:pPr>
      <w:r>
        <w:rPr>
          <w:rFonts w:ascii="Times New Roman" w:cs="Times New Roman" w:eastAsia="Times New Roman" w:hAnsi="Times New Roman"/>
          <w:sz w:val="14"/>
          <w:szCs w:val="14"/>
          <w:color w:val="auto"/>
        </w:rPr>
        <w:t>As of March 31, 2026, PIF, both directly and indirectly through Ayar, held over 50% of the voting power for the election of our directors. As a result, we are a “controlled company” within the meaning of the Nasdaq rules, and as a result, we qualify for exemptions from certain corporate governance requirements. Under these rules, a company of which more than 50% of the voting power for the election of directors is held by an individual, group or another company is a “controlled company” and may elect not to comply with certain corporate governance requirements, including the requirements to have: (a) a majority of independent directors on the board; (b) a nominating committee comprised solely of independent directors; (c) compensation of executive officers determined by a majority of the independent directors or a compensation committee comprised solely of independent directors; and (d) director nominees selected, or recommended for the selection by the board, either by a majority of the independent directors or a nominating committee comprised solely of independent directors. Although currently we do not utilize any of these exemptions, we may elect to utilize one or more of these exemptions for so long as we remain a “controlled company.” As a result, our stockholders may not have the same protections afforded to stockholders of companies that are subject to all of the Nasdaq corporate governance requirements. Ayar also has the ability to nominate five of the eight directors to our Board.</w:t>
      </w:r>
    </w:p>
    <w:p>
      <w:pPr>
        <w:spacing w:after="0" w:line="261" w:lineRule="exact"/>
        <w:rPr>
          <w:sz w:val="20"/>
          <w:szCs w:val="20"/>
          <w:color w:val="auto"/>
        </w:rPr>
      </w:pPr>
    </w:p>
    <w:p>
      <w:pPr>
        <w:ind w:left="1220" w:right="1339" w:firstLine="289"/>
        <w:spacing w:after="0" w:line="255" w:lineRule="auto"/>
        <w:rPr>
          <w:sz w:val="20"/>
          <w:szCs w:val="20"/>
          <w:color w:val="auto"/>
        </w:rPr>
      </w:pPr>
      <w:r>
        <w:rPr>
          <w:rFonts w:ascii="Times New Roman" w:cs="Times New Roman" w:eastAsia="Times New Roman" w:hAnsi="Times New Roman"/>
          <w:sz w:val="14"/>
          <w:szCs w:val="14"/>
          <w:color w:val="auto"/>
        </w:rPr>
        <w:t>In addition, for so long as Ayar holds the Redeemable Convertible Preferred Stock and as result of the consent and voting rights of the Redeemable Convertible Preferred Stock, coupled with the voting rights associated with Ayar’s existing ownership of common stock in the Company, Ayar has significant power to influence the outcome over any matter submitted for the vote of the holders of our common stock and to influence certain matters affecting our governance and capitalization. Further, Ayar is entitled to receive additional shares of our common stock under the prepaid forward transactions. This concentration of ownership and voting power allows Ayar to exercise control over certain decisions, in particular with regards</w:t>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203835</wp:posOffset>
            </wp:positionV>
            <wp:extent cx="5479415" cy="393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5479415"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3" w:name="page14"/>
    <w:bookmarkEnd w:id="13"/>
    <w:p>
      <w:pPr>
        <w:ind w:left="20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220" w:right="1259"/>
        <w:spacing w:after="0" w:line="272" w:lineRule="auto"/>
        <w:rPr>
          <w:sz w:val="20"/>
          <w:szCs w:val="20"/>
          <w:color w:val="auto"/>
        </w:rPr>
      </w:pPr>
      <w:r>
        <w:rPr>
          <w:rFonts w:ascii="Times New Roman" w:cs="Times New Roman" w:eastAsia="Times New Roman" w:hAnsi="Times New Roman"/>
          <w:sz w:val="14"/>
          <w:szCs w:val="14"/>
          <w:color w:val="auto"/>
        </w:rPr>
        <w:t>to governance and capitalization matters, including matters requiring approval by our stockholders (such as, subject to the Investor Rights Agreement, the election of directors and the approval of mergers or other extraordinary transactions), regardless of whether or not other stockholders believe that the transaction is in their own best interests.</w:t>
      </w:r>
    </w:p>
    <w:p>
      <w:pPr>
        <w:spacing w:after="0" w:line="82" w:lineRule="exact"/>
        <w:rPr>
          <w:sz w:val="20"/>
          <w:szCs w:val="20"/>
          <w:color w:val="auto"/>
        </w:rPr>
      </w:pPr>
    </w:p>
    <w:p>
      <w:pPr>
        <w:ind w:left="1220" w:right="1239" w:firstLine="289"/>
        <w:spacing w:after="0" w:line="266" w:lineRule="auto"/>
        <w:rPr>
          <w:sz w:val="20"/>
          <w:szCs w:val="20"/>
          <w:color w:val="auto"/>
        </w:rPr>
      </w:pPr>
      <w:r>
        <w:rPr>
          <w:rFonts w:ascii="Times New Roman" w:cs="Times New Roman" w:eastAsia="Times New Roman" w:hAnsi="Times New Roman"/>
          <w:sz w:val="14"/>
          <w:szCs w:val="14"/>
          <w:color w:val="auto"/>
        </w:rPr>
        <w:t>The interests of Ayar may differ from the interests of our other stockholders and, as such, Ayar’s voting power and influence over us may decrease the relative interests of our other stockholders or of the Company. Such concentration of voting power could also have the effect of delaying, deterring or preventing a change of control or other business combination that might otherwise be beneficial to our stockholders, could deprive our stockholders of an opportunity to receive a premium for their common stock as part of a sale of our company and might ultimately affect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203835</wp:posOffset>
            </wp:positionV>
            <wp:extent cx="5479415" cy="393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5479415"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4" w:name="page15"/>
    <w:bookmarkEnd w:id="14"/>
    <w:p>
      <w:pPr>
        <w:ind w:left="20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33" w:lineRule="exact"/>
        <w:rPr>
          <w:sz w:val="20"/>
          <w:szCs w:val="20"/>
          <w:color w:val="auto"/>
        </w:rPr>
      </w:pPr>
    </w:p>
    <w:p>
      <w:pPr>
        <w:ind w:left="1220" w:right="1399" w:firstLine="289"/>
        <w:spacing w:after="0" w:line="267" w:lineRule="auto"/>
        <w:rPr>
          <w:sz w:val="20"/>
          <w:szCs w:val="20"/>
          <w:color w:val="auto"/>
        </w:rPr>
      </w:pPr>
      <w:r>
        <w:rPr>
          <w:rFonts w:ascii="Times New Roman" w:cs="Times New Roman" w:eastAsia="Times New Roman" w:hAnsi="Times New Roman"/>
          <w:sz w:val="14"/>
          <w:szCs w:val="14"/>
          <w:color w:val="auto"/>
        </w:rPr>
        <w:t>Except as otherwise set forth in any accompanying prospectus supplement, we expect to use the net proceeds from the sale of securities for general corporate purposes, including the financing of our operations, the possible repayment of indebtedness, and possible business acquisitions. We will have significant discretion in the use of any net proceeds. We may provide additional information on the use of the net proceeds from the sale of the offered securities in an applicable prospectus supplement relating to the offered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203835</wp:posOffset>
            </wp:positionV>
            <wp:extent cx="5479415" cy="393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5479415"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5" w:name="page16"/>
    <w:bookmarkEnd w:id="15"/>
    <w:p>
      <w:pPr>
        <w:ind w:left="20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U.S. FEDERAL INCOME TAX CONSIDERATIONS FOR NON-U.S. HOLDERS</w:t>
      </w:r>
    </w:p>
    <w:p>
      <w:pPr>
        <w:spacing w:after="0" w:line="133" w:lineRule="exact"/>
        <w:rPr>
          <w:sz w:val="20"/>
          <w:szCs w:val="20"/>
          <w:color w:val="auto"/>
        </w:rPr>
      </w:pPr>
    </w:p>
    <w:p>
      <w:pPr>
        <w:ind w:left="1220" w:right="1219" w:firstLine="289"/>
        <w:spacing w:after="0" w:line="262" w:lineRule="auto"/>
        <w:rPr>
          <w:sz w:val="20"/>
          <w:szCs w:val="20"/>
          <w:color w:val="auto"/>
        </w:rPr>
      </w:pPr>
      <w:r>
        <w:rPr>
          <w:rFonts w:ascii="Times New Roman" w:cs="Times New Roman" w:eastAsia="Times New Roman" w:hAnsi="Times New Roman"/>
          <w:sz w:val="14"/>
          <w:szCs w:val="14"/>
          <w:color w:val="auto"/>
        </w:rPr>
        <w:t>The following is a summary of U.S. federal income tax considerations generally applicable to Non-U.S. Holders (as defined below) with respect to the ownership and disposition of shares of our common stock issued pursuant to the offerings that are held by such Non-U.S. Holders as a capital asset (generally, property held for investment) within the meaning of the Internal Revenue Code of 1986, as amended (the “Code”). This summary is based on the Code, Treasury Regulations promulgated thereunder, judicial decisions, administrative rulings and published positions of the Internal Revenue Service (“IRS”) and other applicable authorities, in each case as in effect as of the date of this document and all of which are subject to change, possibly with retroactive effect. This summary is not binding on the IRS and there can be no assurance that the IRS or a court will agree with the conclusions stated herein. This summary is not a complete description of all of the U.S. federal income tax considerations that may be relevant to a particular Non-U.S. Holder. In addition, this summary does not address considerations relevant to Non-U.S. Holders subject to special rules, including, without limitation:</w:t>
      </w:r>
    </w:p>
    <w:p>
      <w:pPr>
        <w:spacing w:after="0" w:line="233" w:lineRule="exact"/>
        <w:rPr>
          <w:sz w:val="20"/>
          <w:szCs w:val="20"/>
          <w:color w:val="auto"/>
        </w:rPr>
      </w:pPr>
    </w:p>
    <w:p>
      <w:pPr>
        <w:ind w:left="1640" w:hanging="140"/>
        <w:spacing w:after="0"/>
        <w:tabs>
          <w:tab w:leader="none" w:pos="1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banks, insurance companies and other financial institutions;</w:t>
      </w:r>
    </w:p>
    <w:p>
      <w:pPr>
        <w:spacing w:after="0" w:line="98" w:lineRule="exact"/>
        <w:rPr>
          <w:rFonts w:ascii="Times New Roman" w:cs="Times New Roman" w:eastAsia="Times New Roman" w:hAnsi="Times New Roman"/>
          <w:sz w:val="14"/>
          <w:szCs w:val="14"/>
          <w:color w:val="auto"/>
        </w:rPr>
      </w:pPr>
    </w:p>
    <w:p>
      <w:pPr>
        <w:ind w:left="1640" w:hanging="140"/>
        <w:spacing w:after="0"/>
        <w:tabs>
          <w:tab w:leader="none" w:pos="1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regulated investment companies;</w:t>
      </w:r>
    </w:p>
    <w:p>
      <w:pPr>
        <w:spacing w:after="0" w:line="98" w:lineRule="exact"/>
        <w:rPr>
          <w:rFonts w:ascii="Times New Roman" w:cs="Times New Roman" w:eastAsia="Times New Roman" w:hAnsi="Times New Roman"/>
          <w:sz w:val="14"/>
          <w:szCs w:val="14"/>
          <w:color w:val="auto"/>
        </w:rPr>
      </w:pPr>
    </w:p>
    <w:p>
      <w:pPr>
        <w:ind w:left="1640" w:hanging="140"/>
        <w:spacing w:after="0"/>
        <w:tabs>
          <w:tab w:leader="none" w:pos="1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 estate investment trusts;</w:t>
      </w:r>
    </w:p>
    <w:p>
      <w:pPr>
        <w:spacing w:after="0" w:line="98" w:lineRule="exact"/>
        <w:rPr>
          <w:rFonts w:ascii="Times New Roman" w:cs="Times New Roman" w:eastAsia="Times New Roman" w:hAnsi="Times New Roman"/>
          <w:sz w:val="14"/>
          <w:szCs w:val="14"/>
          <w:color w:val="auto"/>
        </w:rPr>
      </w:pPr>
    </w:p>
    <w:p>
      <w:pPr>
        <w:ind w:left="1640" w:hanging="140"/>
        <w:spacing w:after="0"/>
        <w:tabs>
          <w:tab w:leader="none" w:pos="1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tax-exempt organizations;</w:t>
      </w:r>
    </w:p>
    <w:p>
      <w:pPr>
        <w:spacing w:after="0" w:line="109" w:lineRule="exact"/>
        <w:rPr>
          <w:rFonts w:ascii="Times New Roman" w:cs="Times New Roman" w:eastAsia="Times New Roman" w:hAnsi="Times New Roman"/>
          <w:sz w:val="14"/>
          <w:szCs w:val="14"/>
          <w:color w:val="auto"/>
        </w:rPr>
      </w:pPr>
    </w:p>
    <w:p>
      <w:pPr>
        <w:ind w:left="1640" w:hanging="140"/>
        <w:spacing w:after="0"/>
        <w:tabs>
          <w:tab w:leader="none" w:pos="1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brokers, dealers or traders in securities or currencies;</w:t>
      </w:r>
    </w:p>
    <w:p>
      <w:pPr>
        <w:spacing w:after="0" w:line="98" w:lineRule="exact"/>
        <w:rPr>
          <w:rFonts w:ascii="Times New Roman" w:cs="Times New Roman" w:eastAsia="Times New Roman" w:hAnsi="Times New Roman"/>
          <w:sz w:val="14"/>
          <w:szCs w:val="14"/>
          <w:color w:val="auto"/>
        </w:rPr>
      </w:pPr>
    </w:p>
    <w:p>
      <w:pPr>
        <w:ind w:left="1640" w:hanging="140"/>
        <w:spacing w:after="0"/>
        <w:tabs>
          <w:tab w:leader="none" w:pos="1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former citizens or residents of the United States;</w:t>
      </w:r>
    </w:p>
    <w:p>
      <w:pPr>
        <w:spacing w:after="0" w:line="98" w:lineRule="exact"/>
        <w:rPr>
          <w:rFonts w:ascii="Times New Roman" w:cs="Times New Roman" w:eastAsia="Times New Roman" w:hAnsi="Times New Roman"/>
          <w:sz w:val="14"/>
          <w:szCs w:val="14"/>
          <w:color w:val="auto"/>
        </w:rPr>
      </w:pPr>
    </w:p>
    <w:p>
      <w:pPr>
        <w:ind w:left="1640" w:hanging="140"/>
        <w:spacing w:after="0"/>
        <w:tabs>
          <w:tab w:leader="none" w:pos="1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that elect to mark their securities to market;</w:t>
      </w:r>
    </w:p>
    <w:p>
      <w:pPr>
        <w:spacing w:after="0" w:line="98" w:lineRule="exact"/>
        <w:rPr>
          <w:rFonts w:ascii="Times New Roman" w:cs="Times New Roman" w:eastAsia="Times New Roman" w:hAnsi="Times New Roman"/>
          <w:sz w:val="14"/>
          <w:szCs w:val="14"/>
          <w:color w:val="auto"/>
        </w:rPr>
      </w:pPr>
    </w:p>
    <w:p>
      <w:pPr>
        <w:ind w:left="1640" w:right="1679" w:hanging="140"/>
        <w:spacing w:after="0" w:line="299" w:lineRule="auto"/>
        <w:tabs>
          <w:tab w:leader="none" w:pos="1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holding our common stock as part of a straddle, hedge, conversion or other integrated transaction;</w:t>
      </w:r>
    </w:p>
    <w:p>
      <w:pPr>
        <w:spacing w:after="0" w:line="32" w:lineRule="exact"/>
        <w:rPr>
          <w:rFonts w:ascii="Times New Roman" w:cs="Times New Roman" w:eastAsia="Times New Roman" w:hAnsi="Times New Roman"/>
          <w:sz w:val="14"/>
          <w:szCs w:val="14"/>
          <w:color w:val="auto"/>
        </w:rPr>
      </w:pPr>
    </w:p>
    <w:p>
      <w:pPr>
        <w:ind w:left="1640" w:hanging="140"/>
        <w:spacing w:after="0"/>
        <w:tabs>
          <w:tab w:leader="none" w:pos="1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deemed to sell our common stock under the constructive sale provisions of the Code;</w:t>
      </w:r>
    </w:p>
    <w:p>
      <w:pPr>
        <w:spacing w:after="0" w:line="98" w:lineRule="exact"/>
        <w:rPr>
          <w:rFonts w:ascii="Times New Roman" w:cs="Times New Roman" w:eastAsia="Times New Roman" w:hAnsi="Times New Roman"/>
          <w:sz w:val="14"/>
          <w:szCs w:val="14"/>
          <w:color w:val="auto"/>
        </w:rPr>
      </w:pPr>
    </w:p>
    <w:p>
      <w:pPr>
        <w:ind w:left="1640" w:right="1319" w:hanging="140"/>
        <w:spacing w:after="0" w:line="299" w:lineRule="auto"/>
        <w:tabs>
          <w:tab w:leader="none" w:pos="1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who acquired shares of our common stock as compensation or otherwise in connection with the performance of services;</w:t>
      </w:r>
    </w:p>
    <w:p>
      <w:pPr>
        <w:spacing w:after="0" w:line="32" w:lineRule="exact"/>
        <w:rPr>
          <w:rFonts w:ascii="Times New Roman" w:cs="Times New Roman" w:eastAsia="Times New Roman" w:hAnsi="Times New Roman"/>
          <w:sz w:val="14"/>
          <w:szCs w:val="14"/>
          <w:color w:val="auto"/>
        </w:rPr>
      </w:pPr>
    </w:p>
    <w:p>
      <w:pPr>
        <w:ind w:left="1640" w:hanging="140"/>
        <w:spacing w:after="0"/>
        <w:tabs>
          <w:tab w:leader="none" w:pos="1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controlled foreign corporations;</w:t>
      </w:r>
    </w:p>
    <w:p>
      <w:pPr>
        <w:spacing w:after="0" w:line="98" w:lineRule="exact"/>
        <w:rPr>
          <w:rFonts w:ascii="Times New Roman" w:cs="Times New Roman" w:eastAsia="Times New Roman" w:hAnsi="Times New Roman"/>
          <w:sz w:val="14"/>
          <w:szCs w:val="14"/>
          <w:color w:val="auto"/>
        </w:rPr>
      </w:pPr>
    </w:p>
    <w:p>
      <w:pPr>
        <w:ind w:left="1640" w:hanging="140"/>
        <w:spacing w:after="0"/>
        <w:tabs>
          <w:tab w:leader="none" w:pos="1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passive foreign investment companies; and</w:t>
      </w:r>
    </w:p>
    <w:p>
      <w:pPr>
        <w:spacing w:after="0" w:line="109" w:lineRule="exact"/>
        <w:rPr>
          <w:rFonts w:ascii="Times New Roman" w:cs="Times New Roman" w:eastAsia="Times New Roman" w:hAnsi="Times New Roman"/>
          <w:sz w:val="14"/>
          <w:szCs w:val="14"/>
          <w:color w:val="auto"/>
        </w:rPr>
      </w:pPr>
    </w:p>
    <w:p>
      <w:pPr>
        <w:ind w:left="1640" w:right="1499" w:hanging="140"/>
        <w:spacing w:after="0" w:line="299" w:lineRule="auto"/>
        <w:tabs>
          <w:tab w:leader="none" w:pos="1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partnerships (or other entities or arrangements treated as partnerships for U.S. federal income tax purposes) or other pass-through entities.</w:t>
      </w:r>
    </w:p>
    <w:p>
      <w:pPr>
        <w:spacing w:after="0" w:line="54" w:lineRule="exact"/>
        <w:rPr>
          <w:sz w:val="20"/>
          <w:szCs w:val="20"/>
          <w:color w:val="auto"/>
        </w:rPr>
      </w:pPr>
    </w:p>
    <w:p>
      <w:pPr>
        <w:ind w:left="1220" w:right="1359" w:firstLine="289"/>
        <w:spacing w:after="0" w:line="267" w:lineRule="auto"/>
        <w:rPr>
          <w:sz w:val="20"/>
          <w:szCs w:val="20"/>
          <w:color w:val="auto"/>
        </w:rPr>
      </w:pPr>
      <w:r>
        <w:rPr>
          <w:rFonts w:ascii="Times New Roman" w:cs="Times New Roman" w:eastAsia="Times New Roman" w:hAnsi="Times New Roman"/>
          <w:sz w:val="14"/>
          <w:szCs w:val="14"/>
          <w:color w:val="auto"/>
        </w:rPr>
        <w:t>If a partnership (or other entity or arrangement treated as a partnership for U.S. federal income tax purposes) holds shares of our common stock, the U.S. federal income tax treatment of a partner in the partnership will generally depend on the status of the partner and the activities of the partnership. Partnerships, and partners of a partnership, holding shares of our common stock should consult their tax advisors regarding the U.S. federal income tax consequences to them of owning and disposing of shares of our common stock.</w:t>
      </w:r>
    </w:p>
    <w:p>
      <w:pPr>
        <w:spacing w:after="0" w:line="263" w:lineRule="exact"/>
        <w:rPr>
          <w:sz w:val="20"/>
          <w:szCs w:val="20"/>
          <w:color w:val="auto"/>
        </w:rPr>
      </w:pPr>
    </w:p>
    <w:p>
      <w:pPr>
        <w:ind w:left="1220" w:right="1239" w:firstLine="289"/>
        <w:spacing w:after="0" w:line="272" w:lineRule="auto"/>
        <w:rPr>
          <w:sz w:val="20"/>
          <w:szCs w:val="20"/>
          <w:color w:val="auto"/>
        </w:rPr>
      </w:pPr>
      <w:r>
        <w:rPr>
          <w:rFonts w:ascii="Times New Roman" w:cs="Times New Roman" w:eastAsia="Times New Roman" w:hAnsi="Times New Roman"/>
          <w:sz w:val="14"/>
          <w:szCs w:val="14"/>
          <w:color w:val="auto"/>
        </w:rPr>
        <w:t>In addition, this summary does not address any U.S. state or local or non-U.S. tax considerations or any U.S. federal estate, gift, alternative minimum tax or Medicare contribution tax considerations. Non-U.S. Holders should consult their tax advisors regarding the particular tax considerations to them of owning and disposing of shares of our common stock.</w:t>
      </w:r>
    </w:p>
    <w:p>
      <w:pPr>
        <w:spacing w:after="0" w:line="82" w:lineRule="exact"/>
        <w:rPr>
          <w:sz w:val="20"/>
          <w:szCs w:val="20"/>
          <w:color w:val="auto"/>
        </w:rPr>
      </w:pPr>
    </w:p>
    <w:p>
      <w:pPr>
        <w:ind w:left="1220" w:right="1299" w:firstLine="289"/>
        <w:spacing w:after="0" w:line="278" w:lineRule="auto"/>
        <w:rPr>
          <w:sz w:val="20"/>
          <w:szCs w:val="20"/>
          <w:color w:val="auto"/>
        </w:rPr>
      </w:pPr>
      <w:r>
        <w:rPr>
          <w:rFonts w:ascii="Times New Roman" w:cs="Times New Roman" w:eastAsia="Times New Roman" w:hAnsi="Times New Roman"/>
          <w:sz w:val="14"/>
          <w:szCs w:val="14"/>
          <w:color w:val="auto"/>
        </w:rPr>
        <w:t>For purposes of this discussion, a “Non-U.S. Holder” is a beneficial owner of shares of our common stock that, for U.S. federal income tax purposes, is an individual, corporation, estate or trust that is not, and is not treated as, any of the following:</w:t>
      </w:r>
    </w:p>
    <w:p>
      <w:pPr>
        <w:spacing w:after="0" w:line="47" w:lineRule="exact"/>
        <w:rPr>
          <w:sz w:val="20"/>
          <w:szCs w:val="20"/>
          <w:color w:val="auto"/>
        </w:rPr>
      </w:pPr>
    </w:p>
    <w:p>
      <w:pPr>
        <w:ind w:left="1640" w:hanging="140"/>
        <w:spacing w:after="0"/>
        <w:tabs>
          <w:tab w:leader="none" w:pos="1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individual who is a citizen or resident of the United States;</w:t>
      </w:r>
    </w:p>
    <w:p>
      <w:pPr>
        <w:spacing w:after="0" w:line="98" w:lineRule="exact"/>
        <w:rPr>
          <w:rFonts w:ascii="Times New Roman" w:cs="Times New Roman" w:eastAsia="Times New Roman" w:hAnsi="Times New Roman"/>
          <w:sz w:val="14"/>
          <w:szCs w:val="14"/>
          <w:color w:val="auto"/>
        </w:rPr>
      </w:pPr>
    </w:p>
    <w:p>
      <w:pPr>
        <w:ind w:left="1640" w:right="1299" w:hanging="140"/>
        <w:spacing w:after="0" w:line="299" w:lineRule="auto"/>
        <w:tabs>
          <w:tab w:leader="none" w:pos="1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(or other entity treated as a corporation for U.S. federal income tax purposes) created or organized in or under the laws of the United States, any state thereof, or the District of Columbia;</w:t>
      </w: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203835</wp:posOffset>
            </wp:positionV>
            <wp:extent cx="5479415" cy="393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5479415"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6" w:name="page17"/>
    <w:bookmarkEnd w:id="16"/>
    <w:p>
      <w:pPr>
        <w:ind w:left="20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640" w:hanging="140"/>
        <w:spacing w:after="0"/>
        <w:tabs>
          <w:tab w:leader="none" w:pos="1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estate, the income of which is subject to U.S. federal income taxation regardless of its source; or</w:t>
      </w:r>
    </w:p>
    <w:p>
      <w:pPr>
        <w:spacing w:after="0" w:line="98" w:lineRule="exact"/>
        <w:rPr>
          <w:rFonts w:ascii="Times New Roman" w:cs="Times New Roman" w:eastAsia="Times New Roman" w:hAnsi="Times New Roman"/>
          <w:sz w:val="14"/>
          <w:szCs w:val="14"/>
          <w:color w:val="auto"/>
        </w:rPr>
      </w:pPr>
    </w:p>
    <w:p>
      <w:pPr>
        <w:ind w:left="1640" w:right="1279" w:hanging="140"/>
        <w:spacing w:after="0" w:line="272" w:lineRule="auto"/>
        <w:tabs>
          <w:tab w:leader="none" w:pos="1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 (i) the administration of which is subject to the primary supervision of a court within the United States and for which one or more United States persons (as defined in Section 7701(a)(30) of the Code) have the authority to control all substantial decisions, or (ii) that has otherwise validly elected to be treated as a U.S. person under the applicable Treasury Regulations.</w:t>
      </w:r>
    </w:p>
    <w:p>
      <w:pPr>
        <w:spacing w:after="0" w:line="13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Distributions</w:t>
      </w:r>
    </w:p>
    <w:p>
      <w:pPr>
        <w:spacing w:after="0" w:line="133" w:lineRule="exact"/>
        <w:rPr>
          <w:sz w:val="20"/>
          <w:szCs w:val="20"/>
          <w:color w:val="auto"/>
        </w:rPr>
      </w:pPr>
    </w:p>
    <w:p>
      <w:pPr>
        <w:ind w:left="1220" w:right="1239" w:firstLine="289"/>
        <w:spacing w:after="0" w:line="251" w:lineRule="auto"/>
        <w:rPr>
          <w:sz w:val="20"/>
          <w:szCs w:val="20"/>
          <w:color w:val="auto"/>
        </w:rPr>
      </w:pPr>
      <w:r>
        <w:rPr>
          <w:rFonts w:ascii="Times New Roman" w:cs="Times New Roman" w:eastAsia="Times New Roman" w:hAnsi="Times New Roman"/>
          <w:sz w:val="14"/>
          <w:szCs w:val="14"/>
          <w:color w:val="auto"/>
        </w:rPr>
        <w:t>We do not currently anticipate paying cash dividends on our common stock in the foreseeable future. However, if we do make distributions of cash or property (other than certain stock distributions) with respect to shares of our common stock (or if we engage in certain redemptions that are treated as distributions with respect to shares of our common stock), any such distributions will generally be treated as dividends to the extent paid from our current or accumulated earnings and profits, as determined under U.S. federal income tax principles. Amounts of such distributions in excess of our current and accumulated earnings and profits will be treated, first, as a return of capital and be applied against and reduce a Non-U.S. Holder’s adjusted tax basis in its shares of our common stock (but not below zero) and, thereafter, as capital gain, which is subject to the tax treatment described below under “— Sale or Other Taxable Disposition.”</w:t>
      </w:r>
    </w:p>
    <w:p>
      <w:pPr>
        <w:spacing w:after="0" w:line="88" w:lineRule="exact"/>
        <w:rPr>
          <w:sz w:val="20"/>
          <w:szCs w:val="20"/>
          <w:color w:val="auto"/>
        </w:rPr>
      </w:pPr>
    </w:p>
    <w:p>
      <w:pPr>
        <w:ind w:left="1220" w:right="1279" w:firstLine="289"/>
        <w:spacing w:after="0" w:line="252" w:lineRule="auto"/>
        <w:rPr>
          <w:sz w:val="20"/>
          <w:szCs w:val="20"/>
          <w:color w:val="auto"/>
        </w:rPr>
      </w:pPr>
      <w:r>
        <w:rPr>
          <w:rFonts w:ascii="Times New Roman" w:cs="Times New Roman" w:eastAsia="Times New Roman" w:hAnsi="Times New Roman"/>
          <w:sz w:val="14"/>
          <w:szCs w:val="14"/>
          <w:color w:val="auto"/>
        </w:rPr>
        <w:t>Subject to the discussion below on effectively connected income, dividends paid to a Non-U.S. Holder with respect to shares of our common stock will generally be subject to U.S. federal withholding tax at a rate of thirty percent (30%) of the gross amount of the dividends (or such lower rate specified by an applicable income tax treaty, provided the Non-U.S. Holder furnishes a properly executed IRS Form W-8BEN or W-8BEN-E (or its successor form or other applicable documentation) certifying its qualification for such lower treaty rate). A Non-U.S. Holder that does not timely furnish the required documentation, but that qualifies for a reduced treaty rate, may obtain a refund of any excess amounts withheld by timely filing an appropriate claim for refund with the IRS.</w:t>
      </w:r>
    </w:p>
    <w:p>
      <w:pPr>
        <w:spacing w:after="0" w:line="257" w:lineRule="exact"/>
        <w:rPr>
          <w:sz w:val="20"/>
          <w:szCs w:val="20"/>
          <w:color w:val="auto"/>
        </w:rPr>
      </w:pPr>
    </w:p>
    <w:p>
      <w:pPr>
        <w:ind w:left="1220" w:right="1419" w:firstLine="289"/>
        <w:spacing w:after="0" w:line="261" w:lineRule="auto"/>
        <w:rPr>
          <w:sz w:val="20"/>
          <w:szCs w:val="20"/>
          <w:color w:val="auto"/>
        </w:rPr>
      </w:pPr>
      <w:r>
        <w:rPr>
          <w:rFonts w:ascii="Times New Roman" w:cs="Times New Roman" w:eastAsia="Times New Roman" w:hAnsi="Times New Roman"/>
          <w:sz w:val="14"/>
          <w:szCs w:val="14"/>
          <w:color w:val="auto"/>
        </w:rPr>
        <w:t>Non-U.S. Holders should expect that the gross amount of any actual distributions with respect to our common stock will generally be subject to U.S. withholding tax, unless the applicable withholding agent elects to withhold a lesser amount based on a reasonable estimate of the amount of the distribution that would be treated as a dividend.</w:t>
      </w:r>
    </w:p>
    <w:p>
      <w:pPr>
        <w:spacing w:after="0" w:line="80" w:lineRule="exact"/>
        <w:rPr>
          <w:sz w:val="20"/>
          <w:szCs w:val="20"/>
          <w:color w:val="auto"/>
        </w:rPr>
      </w:pPr>
    </w:p>
    <w:p>
      <w:pPr>
        <w:ind w:left="1220" w:right="1239" w:firstLine="289"/>
        <w:spacing w:after="0" w:line="250" w:lineRule="auto"/>
        <w:rPr>
          <w:sz w:val="20"/>
          <w:szCs w:val="20"/>
          <w:color w:val="auto"/>
        </w:rPr>
      </w:pPr>
      <w:r>
        <w:rPr>
          <w:rFonts w:ascii="Times New Roman" w:cs="Times New Roman" w:eastAsia="Times New Roman" w:hAnsi="Times New Roman"/>
          <w:sz w:val="14"/>
          <w:szCs w:val="14"/>
          <w:color w:val="auto"/>
        </w:rPr>
        <w:t>No amounts in respect of U.S. federal withholding tax will generally be withheld from dividends paid to a Non-U.S. Holder if the dividends are effectively connected with such Non-U.S. Holder’s conduct of a trade or business within the United States (and, if required by an applicable income tax treaty, are attributable to a permanent establishment or fixed base maintained by such Non-U.S. Holder in the United States) and the Non-U.S. Holder provides a properly executed IRS Form W-8ECI (or its successor form or other applicable documentation). Any such effectively connected dividends will instead generally be subject to U.S. federal income tax on a net income basis at the regular graduated rates that apply to U.S. persons. A Non-U.S. Holder that is treated as a corporation for U.S. federal income tax purposes receiving effectively connected dividends may also be subject to an additional “branch profits tax” imposed at a rate of</w:t>
      </w:r>
    </w:p>
    <w:p>
      <w:pPr>
        <w:spacing w:after="0" w:line="1" w:lineRule="exact"/>
        <w:rPr>
          <w:sz w:val="20"/>
          <w:szCs w:val="20"/>
          <w:color w:val="auto"/>
        </w:rPr>
      </w:pPr>
    </w:p>
    <w:p>
      <w:pPr>
        <w:ind w:left="1220" w:right="1379"/>
        <w:spacing w:after="0" w:line="258" w:lineRule="auto"/>
        <w:rPr>
          <w:sz w:val="20"/>
          <w:szCs w:val="20"/>
          <w:color w:val="auto"/>
        </w:rPr>
      </w:pPr>
      <w:r>
        <w:rPr>
          <w:rFonts w:ascii="Times New Roman" w:cs="Times New Roman" w:eastAsia="Times New Roman" w:hAnsi="Times New Roman"/>
          <w:sz w:val="14"/>
          <w:szCs w:val="14"/>
          <w:color w:val="auto"/>
        </w:rPr>
        <w:t>thirty percent (30%) (or a lower rate specified by an applicable income tax treaty) on its effectively connected earnings and profits (subject to certain adjustments). Non-U.S. Holders should consult their tax advisors regarding their entitlement to benefits under any applicable income tax treaty.</w:t>
      </w:r>
    </w:p>
    <w:p>
      <w:pPr>
        <w:spacing w:after="0" w:line="13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Sale or Other Taxable Disposition</w:t>
      </w:r>
    </w:p>
    <w:p>
      <w:pPr>
        <w:spacing w:after="0" w:line="133" w:lineRule="exact"/>
        <w:rPr>
          <w:sz w:val="20"/>
          <w:szCs w:val="20"/>
          <w:color w:val="auto"/>
        </w:rPr>
      </w:pPr>
    </w:p>
    <w:p>
      <w:pPr>
        <w:ind w:left="1220" w:right="1299" w:firstLine="289"/>
        <w:spacing w:after="0" w:line="283" w:lineRule="auto"/>
        <w:rPr>
          <w:sz w:val="20"/>
          <w:szCs w:val="20"/>
          <w:color w:val="auto"/>
        </w:rPr>
      </w:pPr>
      <w:r>
        <w:rPr>
          <w:rFonts w:ascii="Times New Roman" w:cs="Times New Roman" w:eastAsia="Times New Roman" w:hAnsi="Times New Roman"/>
          <w:sz w:val="14"/>
          <w:szCs w:val="14"/>
          <w:color w:val="auto"/>
        </w:rPr>
        <w:t>A Non-U.S. Holder will not be subject to U.S. federal income tax on any gain realized upon the sale or other taxable disposition of shares of our common stock unless:</w:t>
      </w:r>
    </w:p>
    <w:p>
      <w:pPr>
        <w:spacing w:after="0" w:line="32" w:lineRule="exact"/>
        <w:rPr>
          <w:sz w:val="20"/>
          <w:szCs w:val="20"/>
          <w:color w:val="auto"/>
        </w:rPr>
      </w:pPr>
    </w:p>
    <w:p>
      <w:pPr>
        <w:ind w:left="1640" w:right="1419" w:hanging="140"/>
        <w:spacing w:after="0" w:line="278" w:lineRule="auto"/>
        <w:tabs>
          <w:tab w:leader="none" w:pos="1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gain is “effectively connected” with a trade or business of the Non-U.S. Holder in the United States (and, if required by an applicable income tax treaty, is attributable to a permanent establishment or fixed base maintained by the Non-U.S. Holder in the United States);</w:t>
      </w:r>
    </w:p>
    <w:p>
      <w:pPr>
        <w:spacing w:after="0" w:line="47" w:lineRule="exact"/>
        <w:rPr>
          <w:rFonts w:ascii="Times New Roman" w:cs="Times New Roman" w:eastAsia="Times New Roman" w:hAnsi="Times New Roman"/>
          <w:sz w:val="14"/>
          <w:szCs w:val="14"/>
          <w:color w:val="auto"/>
        </w:rPr>
      </w:pPr>
    </w:p>
    <w:p>
      <w:pPr>
        <w:ind w:left="1640" w:right="1479" w:hanging="140"/>
        <w:spacing w:after="0" w:line="299" w:lineRule="auto"/>
        <w:tabs>
          <w:tab w:leader="none" w:pos="1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Non-U.S. Holder is a nonresident alien individual present in the United States for 183 days or more during the taxable year of the disposition and certain other requirements are met; or</w:t>
      </w:r>
    </w:p>
    <w:p>
      <w:pPr>
        <w:spacing w:after="0" w:line="32" w:lineRule="exact"/>
        <w:rPr>
          <w:rFonts w:ascii="Times New Roman" w:cs="Times New Roman" w:eastAsia="Times New Roman" w:hAnsi="Times New Roman"/>
          <w:sz w:val="14"/>
          <w:szCs w:val="14"/>
          <w:color w:val="auto"/>
        </w:rPr>
      </w:pPr>
    </w:p>
    <w:p>
      <w:pPr>
        <w:ind w:left="1640" w:right="1599" w:hanging="140"/>
        <w:spacing w:after="0" w:line="299" w:lineRule="auto"/>
        <w:tabs>
          <w:tab w:leader="none" w:pos="1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common stock constitutes a U.S. real property interest by reason of our status as a U.S. real property holding corporation (“USRPHC”) for U.S. federal income tax purposes.</w:t>
      </w: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203835</wp:posOffset>
            </wp:positionV>
            <wp:extent cx="5479415" cy="393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5479415"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7" w:name="page18"/>
    <w:bookmarkEnd w:id="17"/>
    <w:p>
      <w:pPr>
        <w:ind w:left="20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220" w:right="1279" w:firstLine="289"/>
        <w:spacing w:after="0" w:line="272" w:lineRule="auto"/>
        <w:rPr>
          <w:sz w:val="20"/>
          <w:szCs w:val="20"/>
          <w:color w:val="auto"/>
        </w:rPr>
      </w:pPr>
      <w:r>
        <w:rPr>
          <w:rFonts w:ascii="Times New Roman" w:cs="Times New Roman" w:eastAsia="Times New Roman" w:hAnsi="Times New Roman"/>
          <w:sz w:val="14"/>
          <w:szCs w:val="14"/>
          <w:color w:val="auto"/>
        </w:rPr>
        <w:t>Gain described in the first bullet point above will generally be subject to U.S. federal income tax on a net income basis at the regular graduated rates that apply to U.S. persons. A Non-U.S. Holder that is treated as a corporation for U.S. federal income tax purposes may also be subject to an additional “branch profits tax” as discussed above under “— Distributions.”</w:t>
      </w:r>
    </w:p>
    <w:p>
      <w:pPr>
        <w:spacing w:after="0" w:line="82" w:lineRule="exact"/>
        <w:rPr>
          <w:sz w:val="20"/>
          <w:szCs w:val="20"/>
          <w:color w:val="auto"/>
        </w:rPr>
      </w:pPr>
    </w:p>
    <w:p>
      <w:pPr>
        <w:ind w:left="1220" w:right="1419" w:firstLine="289"/>
        <w:spacing w:after="0" w:line="268" w:lineRule="auto"/>
        <w:rPr>
          <w:sz w:val="20"/>
          <w:szCs w:val="20"/>
          <w:color w:val="auto"/>
        </w:rPr>
      </w:pPr>
      <w:r>
        <w:rPr>
          <w:rFonts w:ascii="Times New Roman" w:cs="Times New Roman" w:eastAsia="Times New Roman" w:hAnsi="Times New Roman"/>
          <w:sz w:val="14"/>
          <w:szCs w:val="14"/>
          <w:color w:val="auto"/>
        </w:rPr>
        <w:t>Gain recognized by a Non-U.S. Holder described in the second bullet point above will generally be subject to U.S. federal income tax at a rate of thirty percent (30%) (or a lower rate specified by an applicable income tax treaty), which gain may be offset by U.S.-source capital losses of the Non-U.S. Holder (even though such individual is not considered a resident of the United States), provided the Non-U.S. Holder has timely filed U.S. federal income tax returns with respect to such losses.</w:t>
      </w:r>
    </w:p>
    <w:p>
      <w:pPr>
        <w:spacing w:after="0" w:line="87" w:lineRule="exact"/>
        <w:rPr>
          <w:sz w:val="20"/>
          <w:szCs w:val="20"/>
          <w:color w:val="auto"/>
        </w:rPr>
      </w:pPr>
    </w:p>
    <w:p>
      <w:pPr>
        <w:ind w:left="1220" w:right="1639" w:firstLine="289"/>
        <w:spacing w:after="0" w:line="269" w:lineRule="auto"/>
        <w:rPr>
          <w:sz w:val="20"/>
          <w:szCs w:val="20"/>
          <w:color w:val="auto"/>
        </w:rPr>
      </w:pPr>
      <w:r>
        <w:rPr>
          <w:rFonts w:ascii="Times New Roman" w:cs="Times New Roman" w:eastAsia="Times New Roman" w:hAnsi="Times New Roman"/>
          <w:sz w:val="14"/>
          <w:szCs w:val="14"/>
          <w:color w:val="auto"/>
        </w:rPr>
        <w:t>With respect to the third bullet point above, although there can be no assurance in this regard, we believe that we are not, and we do not anticipate becoming, a USRPHC for U.S. federal income</w:t>
      </w:r>
    </w:p>
    <w:p>
      <w:pPr>
        <w:spacing w:after="0" w:line="1" w:lineRule="exact"/>
        <w:rPr>
          <w:sz w:val="20"/>
          <w:szCs w:val="20"/>
          <w:color w:val="auto"/>
        </w:rPr>
      </w:pPr>
    </w:p>
    <w:p>
      <w:pPr>
        <w:ind w:left="1220" w:right="1299"/>
        <w:spacing w:after="0" w:line="262" w:lineRule="auto"/>
        <w:rPr>
          <w:sz w:val="20"/>
          <w:szCs w:val="20"/>
          <w:color w:val="auto"/>
        </w:rPr>
      </w:pPr>
      <w:r>
        <w:rPr>
          <w:rFonts w:ascii="Times New Roman" w:cs="Times New Roman" w:eastAsia="Times New Roman" w:hAnsi="Times New Roman"/>
          <w:sz w:val="14"/>
          <w:szCs w:val="14"/>
          <w:color w:val="auto"/>
        </w:rPr>
        <w:t>tax purposes. Even if we are or were to become a USRPHC, gain arising from the sale or other taxable disposition by a Non-U.S. Holder of shares of our common stock will not be subject to U.S. federal income tax if our common stock is “regularly traded,” as defined by applicable Treasury Regulations, on an established securities market, and such Non-U.S. Holder owned, actually and constructively, five percent (5%) or less of our common stock throughout the shorter of the five-year period ending on the date of the sale or other taxable disposition or such Non-U.S. Holder’s holding period.</w:t>
      </w:r>
    </w:p>
    <w:p>
      <w:pPr>
        <w:spacing w:after="0" w:line="78" w:lineRule="exact"/>
        <w:rPr>
          <w:sz w:val="20"/>
          <w:szCs w:val="20"/>
          <w:color w:val="auto"/>
        </w:rPr>
      </w:pPr>
    </w:p>
    <w:p>
      <w:pPr>
        <w:ind w:left="1220" w:right="1459" w:firstLine="289"/>
        <w:spacing w:after="0" w:line="299" w:lineRule="auto"/>
        <w:rPr>
          <w:sz w:val="20"/>
          <w:szCs w:val="20"/>
          <w:color w:val="auto"/>
        </w:rPr>
      </w:pPr>
      <w:r>
        <w:rPr>
          <w:rFonts w:ascii="Times New Roman" w:cs="Times New Roman" w:eastAsia="Times New Roman" w:hAnsi="Times New Roman"/>
          <w:sz w:val="14"/>
          <w:szCs w:val="14"/>
          <w:color w:val="auto"/>
        </w:rPr>
        <w:t>Non-U.S. Holders should consult their tax advisors regarding their entitlement to benefits under any applicable income tax treaty.</w:t>
      </w:r>
    </w:p>
    <w:p>
      <w:pPr>
        <w:spacing w:after="0" w:line="11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Foreign Account Tax Compliance Act</w:t>
      </w:r>
    </w:p>
    <w:p>
      <w:pPr>
        <w:spacing w:after="0" w:line="133" w:lineRule="exact"/>
        <w:rPr>
          <w:sz w:val="20"/>
          <w:szCs w:val="20"/>
          <w:color w:val="auto"/>
        </w:rPr>
      </w:pPr>
    </w:p>
    <w:p>
      <w:pPr>
        <w:ind w:left="1220" w:right="1239" w:firstLine="289"/>
        <w:spacing w:after="0" w:line="260" w:lineRule="auto"/>
        <w:rPr>
          <w:sz w:val="20"/>
          <w:szCs w:val="20"/>
          <w:color w:val="auto"/>
        </w:rPr>
      </w:pPr>
      <w:r>
        <w:rPr>
          <w:rFonts w:ascii="Times New Roman" w:cs="Times New Roman" w:eastAsia="Times New Roman" w:hAnsi="Times New Roman"/>
          <w:sz w:val="14"/>
          <w:szCs w:val="14"/>
          <w:color w:val="auto"/>
        </w:rPr>
        <w:t>Withholding taxes may be imposed under Sections 1471 to 1474 of the Code (such sections commonly referred to as the Foreign Account Tax Compliance Act, or “FATCA”) on certain types of payments made to non-U.S. financial institutions and certain other non-U.S. entities. Specifically, a thirty percent (30%) withholding rate may be imposed on dividends in respect of our common stock held by or through certain foreign financial institutions (including investment funds), unless such institution (i) enters into, and complies with, an agreement with the Treasury Department to report, on an annual basis, information with respect to interests in, and accounts maintained by, the institution to the extent such interests or accounts are held by certain U.S. persons and by certain non-U.S. entities that are wholly or partially owned by U.S. persons and to withhold on certain payments or (ii) complies with an intergovernmental agreement between the United States and an applicable foreign country to report such information to its local tax authority, which will exchange such information with the U.S. authorities. An intergovernmental agreement between the United States and an applicable foreign country may modify these requirements. Accordingly, the entity through which our common stock is held will affect the determination of whether such withholding is required. Similarly, dividends in respect of our common stock held by an investor that is a non-financial non-U.S. entity that does not qualify under certain exemptions will be subject to withholding at a rate of thirty percent (30%), unless such entity either (i) certifies that such entity does not have any “substantial United States owners” or (ii) provides certain information regarding the entity’s “substantial United States owners,” which we or the applicable withholding agent will in turn provide to the Treasury Department. We will not pay any amounts to holders in respect of any amounts withheld. Non-U.S. Holders should consult their tax advisors regarding the possible implications of this withholding tax on their investment in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203835</wp:posOffset>
            </wp:positionV>
            <wp:extent cx="5479415" cy="393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5479415"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8" w:name="page19"/>
    <w:bookmarkEnd w:id="18"/>
    <w:p>
      <w:pPr>
        <w:ind w:left="20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33" w:lineRule="exact"/>
        <w:rPr>
          <w:sz w:val="20"/>
          <w:szCs w:val="20"/>
          <w:color w:val="auto"/>
        </w:rPr>
      </w:pPr>
    </w:p>
    <w:p>
      <w:pPr>
        <w:ind w:left="1220" w:right="1559" w:firstLine="289"/>
        <w:spacing w:after="0" w:line="269" w:lineRule="auto"/>
        <w:rPr>
          <w:sz w:val="20"/>
          <w:szCs w:val="20"/>
          <w:color w:val="auto"/>
        </w:rPr>
      </w:pPr>
      <w:r>
        <w:rPr>
          <w:rFonts w:ascii="Times New Roman" w:cs="Times New Roman" w:eastAsia="Times New Roman" w:hAnsi="Times New Roman"/>
          <w:sz w:val="14"/>
          <w:szCs w:val="14"/>
          <w:color w:val="auto"/>
        </w:rPr>
        <w:t>We may sell the securities being offered hereby in one or more of the following ways from time to time:</w:t>
      </w:r>
    </w:p>
    <w:p>
      <w:pPr>
        <w:spacing w:after="0" w:line="253" w:lineRule="exact"/>
        <w:rPr>
          <w:sz w:val="20"/>
          <w:szCs w:val="20"/>
          <w:color w:val="auto"/>
        </w:rPr>
      </w:pPr>
    </w:p>
    <w:p>
      <w:pPr>
        <w:ind w:left="1640" w:hanging="140"/>
        <w:spacing w:after="0"/>
        <w:tabs>
          <w:tab w:leader="none" w:pos="1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underwriters for resale to purchasers;</w:t>
      </w:r>
    </w:p>
    <w:p>
      <w:pPr>
        <w:spacing w:after="0" w:line="98" w:lineRule="exact"/>
        <w:rPr>
          <w:rFonts w:ascii="Times New Roman" w:cs="Times New Roman" w:eastAsia="Times New Roman" w:hAnsi="Times New Roman"/>
          <w:sz w:val="14"/>
          <w:szCs w:val="14"/>
          <w:color w:val="auto"/>
        </w:rPr>
      </w:pPr>
    </w:p>
    <w:p>
      <w:pPr>
        <w:ind w:left="1640" w:hanging="140"/>
        <w:spacing w:after="0"/>
        <w:tabs>
          <w:tab w:leader="none" w:pos="1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directly to purchasers;</w:t>
      </w:r>
    </w:p>
    <w:p>
      <w:pPr>
        <w:spacing w:after="0" w:line="98" w:lineRule="exact"/>
        <w:rPr>
          <w:rFonts w:ascii="Times New Roman" w:cs="Times New Roman" w:eastAsia="Times New Roman" w:hAnsi="Times New Roman"/>
          <w:sz w:val="14"/>
          <w:szCs w:val="14"/>
          <w:color w:val="auto"/>
        </w:rPr>
      </w:pPr>
    </w:p>
    <w:p>
      <w:pPr>
        <w:ind w:left="1640" w:hanging="140"/>
        <w:spacing w:after="0"/>
        <w:tabs>
          <w:tab w:leader="none" w:pos="1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agents or dealers to purchasers; or</w:t>
      </w:r>
    </w:p>
    <w:p>
      <w:pPr>
        <w:spacing w:after="0" w:line="98" w:lineRule="exact"/>
        <w:rPr>
          <w:rFonts w:ascii="Times New Roman" w:cs="Times New Roman" w:eastAsia="Times New Roman" w:hAnsi="Times New Roman"/>
          <w:sz w:val="14"/>
          <w:szCs w:val="14"/>
          <w:color w:val="auto"/>
        </w:rPr>
      </w:pPr>
    </w:p>
    <w:p>
      <w:pPr>
        <w:ind w:left="1640" w:hanging="140"/>
        <w:spacing w:after="0"/>
        <w:tabs>
          <w:tab w:leader="none" w:pos="1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 combination of any of these methods.</w:t>
      </w:r>
    </w:p>
    <w:p>
      <w:pPr>
        <w:spacing w:after="0" w:line="131" w:lineRule="exact"/>
        <w:rPr>
          <w:sz w:val="20"/>
          <w:szCs w:val="20"/>
          <w:color w:val="auto"/>
        </w:rPr>
      </w:pPr>
    </w:p>
    <w:p>
      <w:pPr>
        <w:ind w:left="1220" w:right="1239" w:firstLine="289"/>
        <w:spacing w:after="0" w:line="264" w:lineRule="auto"/>
        <w:rPr>
          <w:sz w:val="20"/>
          <w:szCs w:val="20"/>
          <w:color w:val="auto"/>
        </w:rPr>
      </w:pPr>
      <w:r>
        <w:rPr>
          <w:rFonts w:ascii="Times New Roman" w:cs="Times New Roman" w:eastAsia="Times New Roman" w:hAnsi="Times New Roman"/>
          <w:sz w:val="14"/>
          <w:szCs w:val="14"/>
          <w:color w:val="auto"/>
        </w:rPr>
        <w:t>In addition, we may enter into derivative or hedging transactions with third parties, or sell securities not covered by this prospectus to third parties in privately negotiated transactions. In connection with such a transaction, the third parties may sell securities covered by and pursuant to this prospectus and any accompanying prospectus supplement. If so, the third party may use securities borrowed from us or others to settle such sales and may use securities received from us to close out any related short positions. We may also loan or pledge securities covered by this prospectus and any accompanying prospectus supplement to third parties, who may sell the loaned securities or, in an event of default in the case of a pledge, sell the pledged securities pursuant to this prospectus and any accompanying prospectus supplement.</w:t>
      </w:r>
    </w:p>
    <w:p>
      <w:pPr>
        <w:spacing w:after="0" w:line="78" w:lineRule="exact"/>
        <w:rPr>
          <w:sz w:val="20"/>
          <w:szCs w:val="20"/>
          <w:color w:val="auto"/>
        </w:rPr>
      </w:pPr>
    </w:p>
    <w:p>
      <w:pPr>
        <w:ind w:left="1220" w:right="1379" w:firstLine="289"/>
        <w:spacing w:after="0" w:line="299" w:lineRule="auto"/>
        <w:rPr>
          <w:sz w:val="20"/>
          <w:szCs w:val="20"/>
          <w:color w:val="auto"/>
        </w:rPr>
      </w:pPr>
      <w:r>
        <w:rPr>
          <w:rFonts w:ascii="Times New Roman" w:cs="Times New Roman" w:eastAsia="Times New Roman" w:hAnsi="Times New Roman"/>
          <w:sz w:val="14"/>
          <w:szCs w:val="14"/>
          <w:color w:val="auto"/>
        </w:rPr>
        <w:t>We will identify the specific plan of distribution, including any underwriters, dealers, agents or direct purchasers and their compensation in a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203835</wp:posOffset>
            </wp:positionV>
            <wp:extent cx="5479415" cy="393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5479415"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19" w:name="page20"/>
    <w:bookmarkEnd w:id="19"/>
    <w:p>
      <w:pPr>
        <w:ind w:left="20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33" w:lineRule="exact"/>
        <w:rPr>
          <w:sz w:val="20"/>
          <w:szCs w:val="20"/>
          <w:color w:val="auto"/>
        </w:rPr>
      </w:pPr>
    </w:p>
    <w:p>
      <w:pPr>
        <w:ind w:left="1220" w:right="1239" w:firstLine="289"/>
        <w:spacing w:after="0" w:line="270" w:lineRule="auto"/>
        <w:rPr>
          <w:sz w:val="20"/>
          <w:szCs w:val="20"/>
          <w:color w:val="auto"/>
        </w:rPr>
      </w:pPr>
      <w:r>
        <w:rPr>
          <w:rFonts w:ascii="Times New Roman" w:cs="Times New Roman" w:eastAsia="Times New Roman" w:hAnsi="Times New Roman"/>
          <w:sz w:val="14"/>
          <w:szCs w:val="14"/>
          <w:color w:val="auto"/>
        </w:rPr>
        <w:t>Unless otherwise indicated in any accompanying prospectus supplement, Skadden, Arps, Slate, Meagher &amp; Flom LLP will provide opinions regarding the authorization and validity of the securities. Skadden, Arps, Slate, Meagher &amp; Flom LLP may also provide opinions regarding certain other matters. Any underwriters will be advised about legal matters by their own counsel, which will be named in an accompanying prospectus supplement.</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33" w:lineRule="exact"/>
        <w:rPr>
          <w:sz w:val="20"/>
          <w:szCs w:val="20"/>
          <w:color w:val="auto"/>
        </w:rPr>
      </w:pPr>
    </w:p>
    <w:p>
      <w:pPr>
        <w:ind w:left="1220" w:right="1299" w:firstLine="289"/>
        <w:spacing w:after="0" w:line="267" w:lineRule="auto"/>
        <w:rPr>
          <w:sz w:val="20"/>
          <w:szCs w:val="20"/>
          <w:color w:val="auto"/>
        </w:rPr>
      </w:pPr>
      <w:r>
        <w:rPr>
          <w:rFonts w:ascii="Times New Roman" w:cs="Times New Roman" w:eastAsia="Times New Roman" w:hAnsi="Times New Roman"/>
          <w:sz w:val="14"/>
          <w:szCs w:val="14"/>
          <w:color w:val="auto"/>
        </w:rPr>
        <w:t>The consolidated financial statements of Lucid Group, Inc. as of December 31, 2025 and 2024, and for each of the years in the three-year period ended December 31, 2025, and management’s assessment of the effectiveness of internal control over financial reporting as of December 31, 2025 have been incorporated by reference herein and in the registration statement in reliance upon the reports of KPMG LLP, independent registered public accounting firm, incorporated by reference herein, and upon the authority of said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203835</wp:posOffset>
            </wp:positionV>
            <wp:extent cx="5479415" cy="393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5479415"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20" w:name="page21"/>
    <w:bookmarkEnd w:id="20"/>
    <w:p>
      <w:pPr>
        <w:ind w:left="20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4"/>
          <w:szCs w:val="14"/>
          <w:b w:val="1"/>
          <w:bCs w:val="1"/>
          <w:color w:val="auto"/>
        </w:rPr>
        <w:t>PART II INFORMATION NOT REQUIRED IN PROSPECTUS</w:t>
      </w:r>
    </w:p>
    <w:p>
      <w:pPr>
        <w:spacing w:after="0" w:line="18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Item 14.  Other Expenses of Issuance and Distribution.</w:t>
      </w:r>
    </w:p>
    <w:p>
      <w:pPr>
        <w:spacing w:after="0" w:line="133" w:lineRule="exact"/>
        <w:rPr>
          <w:sz w:val="20"/>
          <w:szCs w:val="20"/>
          <w:color w:val="auto"/>
        </w:rPr>
      </w:pPr>
    </w:p>
    <w:p>
      <w:pPr>
        <w:jc w:val="right"/>
        <w:ind w:right="2179"/>
        <w:spacing w:after="0"/>
        <w:rPr>
          <w:sz w:val="20"/>
          <w:szCs w:val="20"/>
          <w:color w:val="auto"/>
        </w:rPr>
      </w:pPr>
      <w:r>
        <w:rPr>
          <w:rFonts w:ascii="Times New Roman" w:cs="Times New Roman" w:eastAsia="Times New Roman" w:hAnsi="Times New Roman"/>
          <w:sz w:val="14"/>
          <w:szCs w:val="14"/>
          <w:color w:val="auto"/>
        </w:rPr>
        <w:t>The expenses relating to the registration of the securities will be borne by the registrant.</w:t>
      </w:r>
    </w:p>
    <w:p>
      <w:pPr>
        <w:sectPr>
          <w:pgSz w:w="11900" w:h="16838" w:orient="portrait"/>
          <w:cols w:equalWidth="0" w:num="1">
            <w:col w:w="9019"/>
          </w:cols>
          <w:pgMar w:left="1440" w:top="97" w:right="1440" w:bottom="1440" w:gutter="0" w:footer="0" w:header="0"/>
        </w:sectPr>
      </w:pPr>
    </w:p>
    <w:p>
      <w:pPr>
        <w:spacing w:after="0" w:line="14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Securities​ and Exchange Commission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951230</wp:posOffset>
            </wp:positionH>
            <wp:positionV relativeFrom="paragraph">
              <wp:posOffset>-85090</wp:posOffset>
            </wp:positionV>
            <wp:extent cx="3810000" cy="965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3810000" cy="96520"/>
                    </a:xfrm>
                    <a:prstGeom prst="rect">
                      <a:avLst/>
                    </a:prstGeom>
                    <a:noFill/>
                  </pic:spPr>
                </pic:pic>
              </a:graphicData>
            </a:graphic>
          </wp:anchor>
        </w:drawing>
      </w:r>
    </w:p>
    <w:p>
      <w:pPr>
        <w:spacing w:after="0" w:line="1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Blue​ Sky Qualification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951230</wp:posOffset>
            </wp:positionH>
            <wp:positionV relativeFrom="paragraph">
              <wp:posOffset>13970</wp:posOffset>
            </wp:positionV>
            <wp:extent cx="3810000" cy="1308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3810000" cy="130810"/>
                    </a:xfrm>
                    <a:prstGeom prst="rect">
                      <a:avLst/>
                    </a:prstGeom>
                    <a:noFill/>
                  </pic:spPr>
                </pic:pic>
              </a:graphicData>
            </a:graphic>
          </wp:anchor>
        </w:drawing>
      </w:r>
    </w:p>
    <w:p>
      <w:pPr>
        <w:spacing w:after="0" w:line="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Accounting​ Fees and Expenses</w:t>
      </w:r>
    </w:p>
    <w:p>
      <w:pPr>
        <w:spacing w:after="0" w:line="4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951230</wp:posOffset>
            </wp:positionH>
            <wp:positionV relativeFrom="paragraph">
              <wp:posOffset>13970</wp:posOffset>
            </wp:positionV>
            <wp:extent cx="3810000" cy="1377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3810000" cy="137795"/>
                    </a:xfrm>
                    <a:prstGeom prst="rect">
                      <a:avLst/>
                    </a:prstGeom>
                    <a:noFill/>
                  </pic:spPr>
                </pic:pic>
              </a:graphicData>
            </a:graphic>
          </wp:anchor>
        </w:drawing>
      </w:r>
    </w:p>
    <w:p>
      <w:pPr>
        <w:spacing w:after="0" w:line="3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Printing​ Fees</w:t>
      </w:r>
    </w:p>
    <w:p>
      <w:pPr>
        <w:spacing w:after="0" w:line="5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Transfer​ Agents’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951230</wp:posOffset>
            </wp:positionH>
            <wp:positionV relativeFrom="paragraph">
              <wp:posOffset>17145</wp:posOffset>
            </wp:positionV>
            <wp:extent cx="3810000" cy="1377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3810000" cy="137795"/>
                    </a:xfrm>
                    <a:prstGeom prst="rect">
                      <a:avLst/>
                    </a:prstGeom>
                    <a:noFill/>
                  </pic:spPr>
                </pic:pic>
              </a:graphicData>
            </a:graphic>
          </wp:anchor>
        </w:drawing>
      </w:r>
    </w:p>
    <w:p>
      <w:pPr>
        <w:spacing w:after="0" w:line="3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Nasdaq​ Listing Fees</w:t>
      </w:r>
    </w:p>
    <w:p>
      <w:pPr>
        <w:ind w:left="1500"/>
        <w:spacing w:after="0" w:line="206" w:lineRule="auto"/>
        <w:rPr>
          <w:sz w:val="20"/>
          <w:szCs w:val="20"/>
          <w:color w:val="auto"/>
        </w:rPr>
      </w:pPr>
      <w:r>
        <w:rPr>
          <w:rFonts w:ascii="Times New Roman" w:cs="Times New Roman" w:eastAsia="Times New Roman" w:hAnsi="Times New Roman"/>
          <w:sz w:val="14"/>
          <w:szCs w:val="14"/>
          <w:color w:val="auto"/>
        </w:rPr>
        <w:t>Miscellaneous</w:t>
      </w:r>
      <w:r>
        <w:rPr>
          <w:rFonts w:ascii="Times New Roman" w:cs="Times New Roman" w:eastAsia="Times New Roman" w:hAnsi="Times New Roman"/>
          <w:sz w:val="28"/>
          <w:szCs w:val="28"/>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951230</wp:posOffset>
            </wp:positionH>
            <wp:positionV relativeFrom="paragraph">
              <wp:posOffset>-13335</wp:posOffset>
            </wp:positionV>
            <wp:extent cx="3810000" cy="1511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3810000" cy="151130"/>
                    </a:xfrm>
                    <a:prstGeom prst="rect">
                      <a:avLst/>
                    </a:prstGeom>
                    <a:noFill/>
                  </pic:spPr>
                </pic:pic>
              </a:graphicData>
            </a:graphic>
          </wp:anchor>
        </w:drawing>
      </w:r>
    </w:p>
    <w:p>
      <w:pPr>
        <w:ind w:left="1500"/>
        <w:spacing w:after="0" w:line="184" w:lineRule="auto"/>
        <w:rPr>
          <w:sz w:val="20"/>
          <w:szCs w:val="20"/>
          <w:color w:val="auto"/>
        </w:rPr>
      </w:pPr>
      <w:r>
        <w:rPr>
          <w:rFonts w:ascii="Times New Roman" w:cs="Times New Roman" w:eastAsia="Times New Roman" w:hAnsi="Times New Roman"/>
          <w:sz w:val="14"/>
          <w:szCs w:val="14"/>
          <w:color w:val="auto"/>
        </w:rPr>
        <w:t>Total</w:t>
      </w:r>
      <w:r>
        <w:rPr>
          <w:rFonts w:ascii="Times New Roman" w:cs="Times New Roman" w:eastAsia="Times New Roman" w:hAnsi="Times New Roman"/>
          <w:sz w:val="27"/>
          <w:szCs w:val="27"/>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772795</wp:posOffset>
            </wp:positionH>
            <wp:positionV relativeFrom="paragraph">
              <wp:posOffset>102870</wp:posOffset>
            </wp:positionV>
            <wp:extent cx="990600"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990600" cy="6985"/>
                    </a:xfrm>
                    <a:prstGeom prst="rect">
                      <a:avLst/>
                    </a:prstGeom>
                    <a:noFill/>
                  </pic:spPr>
                </pic:pic>
              </a:graphicData>
            </a:graphic>
          </wp:anchor>
        </w:drawing>
      </w:r>
    </w:p>
    <w:p>
      <w:pPr>
        <w:spacing w:after="0" w:line="247" w:lineRule="exact"/>
        <w:rPr>
          <w:sz w:val="20"/>
          <w:szCs w:val="20"/>
          <w:color w:val="auto"/>
        </w:rPr>
      </w:pPr>
    </w:p>
    <w:p>
      <w:pPr>
        <w:ind w:left="1500" w:hanging="288"/>
        <w:spacing w:after="0"/>
        <w:tabs>
          <w:tab w:leader="none" w:pos="15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Deferred in reliance on Rules 456(b) and 457(r) under the Securities Act.</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                *​</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r>
      <w:tr>
        <w:trPr>
          <w:trHeight w:val="217"/>
        </w:trPr>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r>
      <w:tr>
        <w:trPr>
          <w:trHeight w:val="217"/>
        </w:trPr>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r>
      <w:tr>
        <w:trPr>
          <w:trHeight w:val="217"/>
        </w:trPr>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r>
      <w:tr>
        <w:trPr>
          <w:trHeight w:val="205"/>
        </w:trPr>
        <w:tc>
          <w:tcPr>
            <w:tcW w:w="460" w:type="dxa"/>
            <w:vAlign w:val="bottom"/>
            <w:gridSpan w:val="2"/>
          </w:tcPr>
          <w:p>
            <w:pPr>
              <w:spacing w:after="0" w:line="205"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3"/>
                <w:szCs w:val="23"/>
                <w:color w:val="auto"/>
                <w:vertAlign w:val="superscript"/>
              </w:rPr>
              <w:t>$</w:t>
            </w:r>
          </w:p>
        </w:tc>
        <w:tc>
          <w:tcPr>
            <w:tcW w:w="440" w:type="dxa"/>
            <w:vAlign w:val="bottom"/>
            <w:gridSpan w:val="2"/>
          </w:tcPr>
          <w:p>
            <w:pPr>
              <w:ind w:left="260"/>
              <w:spacing w:after="0" w:line="205"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3"/>
                <w:szCs w:val="23"/>
                <w:color w:val="auto"/>
                <w:vertAlign w:val="subscript"/>
              </w:rPr>
              <w:t>​</w:t>
            </w:r>
          </w:p>
        </w:tc>
      </w:tr>
      <w:tr>
        <w:trPr>
          <w:trHeight w:val="20"/>
        </w:trPr>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01"/>
        </w:trPr>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8"/>
                <w:szCs w:val="28"/>
                <w:color w:val="auto"/>
                <w:vertAlign w:val="superscript"/>
              </w:rPr>
              <w:t>$</w:t>
            </w:r>
          </w:p>
        </w:tc>
        <w:tc>
          <w:tcPr>
            <w:tcW w:w="4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bscript"/>
              </w:rPr>
              <w:t>​</w:t>
            </w:r>
          </w:p>
        </w:tc>
      </w:tr>
    </w:tbl>
    <w:p>
      <w:pPr>
        <w:spacing w:after="0" w:line="332" w:lineRule="exact"/>
        <w:rPr>
          <w:sz w:val="20"/>
          <w:szCs w:val="20"/>
          <w:color w:val="auto"/>
        </w:rPr>
      </w:pPr>
    </w:p>
    <w:p>
      <w:pPr>
        <w:sectPr>
          <w:pgSz w:w="11900" w:h="16838" w:orient="portrait"/>
          <w:cols w:equalWidth="0" w:num="2">
            <w:col w:w="5940" w:space="700"/>
            <w:col w:w="2379"/>
          </w:cols>
          <w:pgMar w:left="1440" w:top="97" w:right="1440" w:bottom="1440" w:gutter="0" w:footer="0" w:header="0"/>
          <w:type w:val="continuous"/>
        </w:sectPr>
      </w:pPr>
    </w:p>
    <w:p>
      <w:pPr>
        <w:ind w:left="1500" w:right="1419" w:hanging="288"/>
        <w:spacing w:after="0" w:line="299" w:lineRule="auto"/>
        <w:tabs>
          <w:tab w:leader="none" w:pos="15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an indeterminate amount of securities is covered by this registration statement, the expenses in connection with the issuance and distribution of the securities are not currently determinable.</w:t>
      </w:r>
    </w:p>
    <w:p>
      <w:pPr>
        <w:spacing w:after="0" w:line="11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Item 15.  Indemnification of Directors and Officers.</w:t>
      </w:r>
    </w:p>
    <w:p>
      <w:pPr>
        <w:spacing w:after="0" w:line="133" w:lineRule="exact"/>
        <w:rPr>
          <w:sz w:val="20"/>
          <w:szCs w:val="20"/>
          <w:color w:val="auto"/>
        </w:rPr>
      </w:pPr>
    </w:p>
    <w:p>
      <w:pPr>
        <w:ind w:left="1220" w:right="1279" w:firstLine="289"/>
        <w:spacing w:after="0" w:line="254" w:lineRule="auto"/>
        <w:rPr>
          <w:sz w:val="20"/>
          <w:szCs w:val="20"/>
          <w:color w:val="auto"/>
        </w:rPr>
      </w:pPr>
      <w:r>
        <w:rPr>
          <w:rFonts w:ascii="Times New Roman" w:cs="Times New Roman" w:eastAsia="Times New Roman" w:hAnsi="Times New Roman"/>
          <w:sz w:val="14"/>
          <w:szCs w:val="14"/>
          <w:color w:val="auto"/>
        </w:rPr>
        <w:t>The registrant is a Delaware corporation. Section 102(b)(7) of the Delaware General Corporation Law (the “DGCL”) allows a corporation to provide in its certificate of incorporation that a director of the corporation will not be personally liable to the corporation or its stockholders for monetary damages for breach of fiduciary duty as a director, except where the director breached the duty of loyalty, failed to act in good faith, engaged in intentional misconduct or knowingly violated a law, authorized the payment of a dividend or approved a stock repurchase in violation of Delaware corporate law or obtained an improper personal benefit. Our current certificate of incorporation provides for this limitation of liability.</w:t>
      </w:r>
    </w:p>
    <w:p>
      <w:pPr>
        <w:spacing w:after="0" w:line="85" w:lineRule="exact"/>
        <w:rPr>
          <w:sz w:val="20"/>
          <w:szCs w:val="20"/>
          <w:color w:val="auto"/>
        </w:rPr>
      </w:pPr>
    </w:p>
    <w:p>
      <w:pPr>
        <w:ind w:left="1220" w:right="1239" w:firstLine="289"/>
        <w:spacing w:after="0" w:line="250" w:lineRule="auto"/>
        <w:rPr>
          <w:sz w:val="20"/>
          <w:szCs w:val="20"/>
          <w:color w:val="auto"/>
        </w:rPr>
      </w:pPr>
      <w:r>
        <w:rPr>
          <w:rFonts w:ascii="Times New Roman" w:cs="Times New Roman" w:eastAsia="Times New Roman" w:hAnsi="Times New Roman"/>
          <w:sz w:val="14"/>
          <w:szCs w:val="14"/>
          <w:color w:val="auto"/>
        </w:rPr>
        <w:t>Reference is also made to Section 145 of the DGCL, which provides that a corporation may indemnify any persons, including officers and directors, who are, or are threatened to be made, parties to any threatened, pending or completed legal action, suit or proceeding, whether civil, criminal, administrative or investigative (other than an action by or in the right of such corporation), by reason of the fact that such person is or was a director, officer,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director, officer, employee or agent acted in good faith and in a manner the person reasonably believed to be in or not opposed to the best interests of the corporation and, with respect to any criminal action or proceeding, had no reasonable cause to believe that the person’s conduct was unlawful. A Delaware corporation may indemnify officers and directors in an action by or in the right of the corporation under the same conditions, except that no indemnification is permitted without judicial approval if the officer or director is adjudged to be liable to the corporation. Where an officer or director is successful on the merits or otherwise in the defense of any action referred to above, the corporation must indemnify him or her against the expenses that such officer or director actually and reasonably incurred. The indemnification permitted under the DGCL is not exclusive, and a corporation is empowered to purchase and maintain insurance against liabilities whether or not indemnification would be permitted by statute.</w:t>
      </w:r>
    </w:p>
    <w:p>
      <w:pPr>
        <w:spacing w:after="0" w:line="258" w:lineRule="exact"/>
        <w:rPr>
          <w:sz w:val="20"/>
          <w:szCs w:val="20"/>
          <w:color w:val="auto"/>
        </w:rPr>
      </w:pPr>
    </w:p>
    <w:p>
      <w:pPr>
        <w:ind w:left="1220" w:right="1619" w:firstLine="289"/>
        <w:spacing w:after="0" w:line="283" w:lineRule="auto"/>
        <w:rPr>
          <w:sz w:val="20"/>
          <w:szCs w:val="20"/>
          <w:color w:val="auto"/>
        </w:rPr>
      </w:pPr>
      <w:r>
        <w:rPr>
          <w:rFonts w:ascii="Times New Roman" w:cs="Times New Roman" w:eastAsia="Times New Roman" w:hAnsi="Times New Roman"/>
          <w:sz w:val="14"/>
          <w:szCs w:val="14"/>
          <w:color w:val="auto"/>
        </w:rPr>
        <w:t>The Company’s current certificate of incorporation provides that we must indemnify and advance expenses to our directors and officers to the full extent authorized by the DGCL.</w:t>
      </w:r>
    </w:p>
    <w:p>
      <w:pPr>
        <w:spacing w:after="0" w:line="64" w:lineRule="exact"/>
        <w:rPr>
          <w:sz w:val="20"/>
          <w:szCs w:val="20"/>
          <w:color w:val="auto"/>
        </w:rPr>
      </w:pPr>
    </w:p>
    <w:p>
      <w:pPr>
        <w:ind w:left="1220" w:right="1259" w:firstLine="289"/>
        <w:spacing w:after="0" w:line="270" w:lineRule="auto"/>
        <w:rPr>
          <w:sz w:val="20"/>
          <w:szCs w:val="20"/>
          <w:color w:val="auto"/>
        </w:rPr>
      </w:pPr>
      <w:r>
        <w:rPr>
          <w:rFonts w:ascii="Times New Roman" w:cs="Times New Roman" w:eastAsia="Times New Roman" w:hAnsi="Times New Roman"/>
          <w:sz w:val="14"/>
          <w:szCs w:val="14"/>
          <w:color w:val="auto"/>
        </w:rPr>
        <w:t>We have entered into indemnification agreements with each of our directors and executive officers, and certain other officers. Such agreements may require us, among other things, to advance expenses and otherwise indemnify our officers and directors against certain liabilities that may arise by reason of their</w:t>
      </w: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203835</wp:posOffset>
            </wp:positionV>
            <wp:extent cx="5479415" cy="393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5479415"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type w:val="continuous"/>
        </w:sectPr>
      </w:pPr>
    </w:p>
    <w:bookmarkStart w:id="21" w:name="page22"/>
    <w:bookmarkEnd w:id="21"/>
    <w:p>
      <w:pPr>
        <w:ind w:left="20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220" w:right="1319"/>
        <w:spacing w:after="0" w:line="313" w:lineRule="auto"/>
        <w:rPr>
          <w:sz w:val="20"/>
          <w:szCs w:val="20"/>
          <w:color w:val="auto"/>
        </w:rPr>
      </w:pPr>
      <w:r>
        <w:rPr>
          <w:rFonts w:ascii="Times New Roman" w:cs="Times New Roman" w:eastAsia="Times New Roman" w:hAnsi="Times New Roman"/>
          <w:sz w:val="14"/>
          <w:szCs w:val="14"/>
          <w:color w:val="auto"/>
        </w:rPr>
        <w:t>status or service as officers or directors, to the fullest extent permitted by law. We intend to enter into indemnification agreements with any new directors and executive officers, and certain other officers, in the future.</w:t>
      </w:r>
    </w:p>
    <w:p>
      <w:pPr>
        <w:spacing w:after="0" w:line="241" w:lineRule="exact"/>
        <w:rPr>
          <w:sz w:val="20"/>
          <w:szCs w:val="20"/>
          <w:color w:val="auto"/>
        </w:rPr>
      </w:pPr>
    </w:p>
    <w:p>
      <w:pPr>
        <w:ind w:left="1220" w:right="1239" w:firstLine="289"/>
        <w:spacing w:after="0" w:line="275" w:lineRule="auto"/>
        <w:rPr>
          <w:sz w:val="20"/>
          <w:szCs w:val="20"/>
          <w:color w:val="auto"/>
        </w:rPr>
      </w:pPr>
      <w:r>
        <w:rPr>
          <w:rFonts w:ascii="Times New Roman" w:cs="Times New Roman" w:eastAsia="Times New Roman" w:hAnsi="Times New Roman"/>
          <w:sz w:val="14"/>
          <w:szCs w:val="14"/>
          <w:color w:val="auto"/>
        </w:rPr>
        <w:t>The indemnification rights set forth above shall not be exclusive of any other right which an indemnified person may have or hereafter acquire under any statute, any provision of the Company’s current certificate of incorporation, the Company’s current bylaws, agreement, vote of stockholders or disinterested directors or otherwise. Notwithstanding the foregoing, the Company shall not be obligated to indemnify a director or officer in respect of a proceeding (or part thereof) instituted by such director or officer, unless such proceeding (or part thereof) has been authorized by the Board pursuant to the applicable procedure outlined in the indemnification agreements.</w:t>
      </w:r>
    </w:p>
    <w:p>
      <w:pPr>
        <w:spacing w:after="0" w:line="84" w:lineRule="exact"/>
        <w:rPr>
          <w:sz w:val="20"/>
          <w:szCs w:val="20"/>
          <w:color w:val="auto"/>
        </w:rPr>
      </w:pPr>
    </w:p>
    <w:p>
      <w:pPr>
        <w:ind w:left="1220" w:right="1239" w:firstLine="289"/>
        <w:spacing w:after="0" w:line="276" w:lineRule="auto"/>
        <w:rPr>
          <w:sz w:val="20"/>
          <w:szCs w:val="20"/>
          <w:color w:val="auto"/>
        </w:rPr>
      </w:pPr>
      <w:r>
        <w:rPr>
          <w:rFonts w:ascii="Times New Roman" w:cs="Times New Roman" w:eastAsia="Times New Roman" w:hAnsi="Times New Roman"/>
          <w:sz w:val="14"/>
          <w:szCs w:val="14"/>
          <w:color w:val="auto"/>
        </w:rPr>
        <w:t>Section 174 of the DGCL provides, among other things, that a director, who willfully or negligently approves of an unlawful payment of dividends or an unlawful stock purchase or redemption, may be held jointly and severally liable for such actions. A director who was either absent when the unlawful actions were approved or dissented at the time may avoid liability by causing his or her dissent to such actions to be entered in the books containing the minutes of the meetings of the board of directors at the time such action occurred or immediately after such absent director receives notice of the unlawful acts.</w:t>
      </w:r>
    </w:p>
    <w:p>
      <w:pPr>
        <w:spacing w:after="0" w:line="9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color w:val="auto"/>
        </w:rPr>
        <w:t>The Company maintains and expect to maintain standard policies of insurance that provide coverage</w:t>
      </w:r>
    </w:p>
    <w:p>
      <w:pPr>
        <w:spacing w:after="0" w:line="28" w:lineRule="exact"/>
        <w:rPr>
          <w:sz w:val="20"/>
          <w:szCs w:val="20"/>
          <w:color w:val="auto"/>
        </w:rPr>
      </w:pPr>
    </w:p>
    <w:p>
      <w:pPr>
        <w:ind w:left="1220" w:right="1259" w:hanging="8"/>
        <w:spacing w:after="0" w:line="283" w:lineRule="auto"/>
        <w:tabs>
          <w:tab w:leader="none" w:pos="143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its directors and officers against loss rising from claims made by reason of breach of duty or other wrongful act and (2) to the Company with respect to indemnification payments that the Company may make to such directors and officers.</w:t>
      </w:r>
    </w:p>
    <w:p>
      <w:pPr>
        <w:spacing w:after="0" w:line="76" w:lineRule="exact"/>
        <w:rPr>
          <w:sz w:val="20"/>
          <w:szCs w:val="20"/>
          <w:color w:val="auto"/>
        </w:rPr>
      </w:pPr>
    </w:p>
    <w:p>
      <w:pPr>
        <w:ind w:left="1220" w:right="1259" w:firstLine="289"/>
        <w:spacing w:after="0" w:line="277" w:lineRule="auto"/>
        <w:rPr>
          <w:sz w:val="20"/>
          <w:szCs w:val="20"/>
          <w:color w:val="auto"/>
        </w:rPr>
      </w:pPr>
      <w:r>
        <w:rPr>
          <w:rFonts w:ascii="Times New Roman" w:cs="Times New Roman" w:eastAsia="Times New Roman" w:hAnsi="Times New Roman"/>
          <w:sz w:val="14"/>
          <w:szCs w:val="14"/>
          <w:color w:val="auto"/>
        </w:rPr>
        <w:t>These provisions may discourage stockholders from bringing a lawsuit against our directors for breach of their fiduciary duty. These provisions also may have the effect of reducing the likelihood of derivative litigation against directors and officers, even though such an action, if successful, might otherwise benefit the Company and our stockholders. Furthermore, a stockholder’s investment may be adversely affected to the extent we pay the costs of settlement and damage awards against officers and directors pursuant to these indemnification provisions.</w:t>
      </w:r>
    </w:p>
    <w:p>
      <w:pPr>
        <w:spacing w:after="0" w:line="273" w:lineRule="exact"/>
        <w:rPr>
          <w:sz w:val="20"/>
          <w:szCs w:val="20"/>
          <w:color w:val="auto"/>
        </w:rPr>
      </w:pPr>
    </w:p>
    <w:p>
      <w:pPr>
        <w:ind w:left="1220" w:right="1259" w:firstLine="289"/>
        <w:spacing w:after="0" w:line="299" w:lineRule="auto"/>
        <w:rPr>
          <w:sz w:val="20"/>
          <w:szCs w:val="20"/>
          <w:color w:val="auto"/>
        </w:rPr>
      </w:pPr>
      <w:r>
        <w:rPr>
          <w:rFonts w:ascii="Times New Roman" w:cs="Times New Roman" w:eastAsia="Times New Roman" w:hAnsi="Times New Roman"/>
          <w:sz w:val="14"/>
          <w:szCs w:val="14"/>
          <w:color w:val="auto"/>
        </w:rPr>
        <w:t>The Company believes that these provisions, the insurance and the indemnity agreements are necessary to attract and retain talented and experienced officers and directors.</w:t>
      </w:r>
    </w:p>
    <w:p>
      <w:pPr>
        <w:spacing w:after="0" w:line="12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Item 16.  List of Exhibits.</w:t>
      </w:r>
    </w:p>
    <w:p>
      <w:pPr>
        <w:sectPr>
          <w:pgSz w:w="11900" w:h="16838" w:orient="portrait"/>
          <w:cols w:equalWidth="0" w:num="1">
            <w:col w:w="9019"/>
          </w:cols>
          <w:pgMar w:left="1440" w:top="97" w:right="1440" w:bottom="1440" w:gutter="0" w:footer="0" w:header="0"/>
        </w:sectPr>
      </w:pPr>
    </w:p>
    <w:p>
      <w:pPr>
        <w:spacing w:after="0" w:line="16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0"/>
          <w:szCs w:val="10"/>
          <w:b w:val="1"/>
          <w:bCs w:val="1"/>
          <w:color w:val="auto"/>
        </w:rPr>
        <w:t>Exhibit</w:t>
      </w:r>
    </w:p>
    <w:p>
      <w:pPr>
        <w:ind w:left="1340" w:hanging="128"/>
        <w:spacing w:after="0" w:line="182" w:lineRule="auto"/>
        <w:tabs>
          <w:tab w:leader="none" w:pos="1340" w:val="left"/>
        </w:tabs>
        <w:numPr>
          <w:ilvl w:val="0"/>
          <w:numId w:val="15"/>
        </w:numPr>
        <w:rPr>
          <w:rFonts w:ascii="Times New Roman" w:cs="Times New Roman" w:eastAsia="Times New Roman" w:hAnsi="Times New Roman"/>
          <w:sz w:val="19"/>
          <w:szCs w:val="19"/>
          <w:b w:val="1"/>
          <w:bCs w:val="1"/>
          <w:color w:val="auto"/>
          <w:vertAlign w:val="subscript"/>
        </w:rPr>
      </w:pPr>
      <w:r>
        <w:rPr>
          <w:rFonts w:ascii="Times New Roman" w:cs="Times New Roman" w:eastAsia="Times New Roman" w:hAnsi="Times New Roman"/>
          <w:sz w:val="10"/>
          <w:szCs w:val="10"/>
          <w:b w:val="1"/>
          <w:bCs w:val="1"/>
          <w:color w:val="auto"/>
        </w:rPr>
        <w:t>No.</w:t>
      </w:r>
    </w:p>
    <w:p>
      <w:pPr>
        <w:spacing w:after="0" w:line="21" w:lineRule="exact"/>
        <w:rPr>
          <w:rFonts w:ascii="Times New Roman" w:cs="Times New Roman" w:eastAsia="Times New Roman" w:hAnsi="Times New Roman"/>
          <w:sz w:val="19"/>
          <w:szCs w:val="19"/>
          <w:b w:val="1"/>
          <w:bCs w:val="1"/>
          <w:color w:val="auto"/>
          <w:vertAlign w:val="subscript"/>
        </w:rPr>
      </w:pPr>
    </w:p>
    <w:p>
      <w:pPr>
        <w:ind w:left="1280" w:hanging="68"/>
        <w:spacing w:after="0" w:line="180" w:lineRule="auto"/>
        <w:tabs>
          <w:tab w:leader="none" w:pos="1280" w:val="left"/>
        </w:tabs>
        <w:numPr>
          <w:ilvl w:val="0"/>
          <w:numId w:val="1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3"/>
          <w:szCs w:val="13"/>
          <w:color w:val="auto"/>
        </w:rPr>
        <w:t>1.1*</w:t>
      </w:r>
    </w:p>
    <w:p>
      <w:pPr>
        <w:spacing w:after="0" w:line="11" w:lineRule="exact"/>
        <w:rPr>
          <w:rFonts w:ascii="Times New Roman" w:cs="Times New Roman" w:eastAsia="Times New Roman" w:hAnsi="Times New Roman"/>
          <w:sz w:val="25"/>
          <w:szCs w:val="25"/>
          <w:color w:val="auto"/>
          <w:vertAlign w:val="superscript"/>
        </w:rPr>
      </w:pPr>
    </w:p>
    <w:p>
      <w:pPr>
        <w:ind w:left="1280" w:hanging="68"/>
        <w:spacing w:after="0"/>
        <w:tabs>
          <w:tab w:leader="none" w:pos="12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3.1</w:t>
      </w:r>
    </w:p>
    <w:p>
      <w:pPr>
        <w:spacing w:after="0" w:line="202" w:lineRule="exact"/>
        <w:rPr>
          <w:rFonts w:ascii="Times New Roman" w:cs="Times New Roman" w:eastAsia="Times New Roman" w:hAnsi="Times New Roman"/>
          <w:sz w:val="14"/>
          <w:szCs w:val="14"/>
          <w:color w:val="auto"/>
        </w:rPr>
      </w:pPr>
    </w:p>
    <w:p>
      <w:pPr>
        <w:ind w:left="1280" w:hanging="68"/>
        <w:spacing w:after="0"/>
        <w:tabs>
          <w:tab w:leader="none" w:pos="12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772795</wp:posOffset>
            </wp:positionH>
            <wp:positionV relativeFrom="paragraph">
              <wp:posOffset>-477520</wp:posOffset>
            </wp:positionV>
            <wp:extent cx="261620"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26162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16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2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4780" w:type="dxa"/>
            <w:vAlign w:val="bottom"/>
            <w:tcBorders>
              <w:bottom w:val="single" w:sz="8" w:color="auto"/>
            </w:tcBorders>
            <w:gridSpan w:val="5"/>
          </w:tcPr>
          <w:p>
            <w:pPr>
              <w:ind w:left="1240"/>
              <w:spacing w:after="0"/>
              <w:rPr>
                <w:sz w:val="20"/>
                <w:szCs w:val="20"/>
                <w:color w:val="auto"/>
              </w:rPr>
            </w:pPr>
            <w:r>
              <w:rPr>
                <w:rFonts w:ascii="Times New Roman" w:cs="Times New Roman" w:eastAsia="Times New Roman" w:hAnsi="Times New Roman"/>
                <w:sz w:val="12"/>
                <w:szCs w:val="12"/>
                <w:b w:val="1"/>
                <w:bCs w:val="1"/>
                <w:color w:val="auto"/>
              </w:rPr>
              <w:t>Description of Exhibits</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71"/>
        </w:trPr>
        <w:tc>
          <w:tcPr>
            <w:tcW w:w="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w:t>
            </w:r>
          </w:p>
        </w:tc>
        <w:tc>
          <w:tcPr>
            <w:tcW w:w="60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Form of Underwriting Agreement.</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177"/>
        </w:trPr>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6060" w:type="dxa"/>
            <w:vAlign w:val="bottom"/>
            <w:gridSpan w:val="8"/>
          </w:tcPr>
          <w:p>
            <w:pPr>
              <w:spacing w:after="0"/>
              <w:rPr>
                <w:rFonts w:ascii="Times New Roman" w:cs="Times New Roman" w:eastAsia="Times New Roman" w:hAnsi="Times New Roman"/>
                <w:sz w:val="14"/>
                <w:szCs w:val="14"/>
                <w:color w:val="0000EE"/>
              </w:rPr>
            </w:pPr>
            <w:hyperlink r:id="rId66">
              <w:r>
                <w:rPr>
                  <w:rFonts w:ascii="Times New Roman" w:cs="Times New Roman" w:eastAsia="Times New Roman" w:hAnsi="Times New Roman"/>
                  <w:sz w:val="14"/>
                  <w:szCs w:val="14"/>
                  <w:color w:val="0000EE"/>
                </w:rPr>
                <w:t xml:space="preserve">Third Amended and Restated Certificate of Incorporation (incorporated by reference to Exhibit 3.1 </w:t>
              </w:r>
            </w:hyperlink>
            <w:r>
              <w:rPr>
                <w:rFonts w:ascii="Times New Roman" w:cs="Times New Roman" w:eastAsia="Times New Roman" w:hAnsi="Times New Roman"/>
                <w:sz w:val="14"/>
                <w:szCs w:val="14"/>
                <w:color w:val="000000"/>
              </w:rPr>
              <w:t>​</w:t>
            </w:r>
          </w:p>
        </w:tc>
      </w:tr>
      <w:tr>
        <w:trPr>
          <w:trHeight w:val="153"/>
        </w:trPr>
        <w:tc>
          <w:tcPr>
            <w:tcW w:w="160" w:type="dxa"/>
            <w:vAlign w:val="bottom"/>
          </w:tcPr>
          <w:p>
            <w:pPr>
              <w:spacing w:after="0"/>
              <w:rPr>
                <w:sz w:val="13"/>
                <w:szCs w:val="13"/>
                <w:color w:val="auto"/>
              </w:rPr>
            </w:pPr>
          </w:p>
        </w:tc>
        <w:tc>
          <w:tcPr>
            <w:tcW w:w="6000" w:type="dxa"/>
            <w:vAlign w:val="bottom"/>
            <w:tcBorders>
              <w:top w:val="single" w:sz="8" w:color="0000EE"/>
            </w:tcBorders>
            <w:gridSpan w:val="6"/>
          </w:tcPr>
          <w:p>
            <w:pPr>
              <w:spacing w:after="0" w:line="153" w:lineRule="exact"/>
              <w:rPr>
                <w:rFonts w:ascii="Times New Roman" w:cs="Times New Roman" w:eastAsia="Times New Roman" w:hAnsi="Times New Roman"/>
                <w:sz w:val="14"/>
                <w:szCs w:val="14"/>
                <w:color w:val="0000EE"/>
              </w:rPr>
            </w:pPr>
            <w:hyperlink r:id="rId66">
              <w:r>
                <w:rPr>
                  <w:rFonts w:ascii="Times New Roman" w:cs="Times New Roman" w:eastAsia="Times New Roman" w:hAnsi="Times New Roman"/>
                  <w:sz w:val="14"/>
                  <w:szCs w:val="14"/>
                  <w:color w:val="0000EE"/>
                </w:rPr>
                <w:t>of the Company’s Current Report on Form 8-K filed April 24, 2023).</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6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294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6"/>
        </w:trPr>
        <w:tc>
          <w:tcPr>
            <w:tcW w:w="6180" w:type="dxa"/>
            <w:vAlign w:val="bottom"/>
            <w:gridSpan w:val="8"/>
          </w:tcPr>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 ​ </w:t>
            </w:r>
            <w:hyperlink r:id="rId67">
              <w:r>
                <w:rPr>
                  <w:rFonts w:ascii="Times New Roman" w:cs="Times New Roman" w:eastAsia="Times New Roman" w:hAnsi="Times New Roman"/>
                  <w:sz w:val="14"/>
                  <w:szCs w:val="14"/>
                  <w:color w:val="0000EE"/>
                </w:rPr>
                <w:t>Certificate of Amendment to the Third Amended and Restated Certificate of Incorporation</w:t>
              </w:r>
            </w:hyperlink>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6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424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3"/>
        </w:trPr>
        <w:tc>
          <w:tcPr>
            <w:tcW w:w="160" w:type="dxa"/>
            <w:vAlign w:val="bottom"/>
          </w:tcPr>
          <w:p>
            <w:pPr>
              <w:spacing w:after="0"/>
              <w:rPr>
                <w:sz w:val="13"/>
                <w:szCs w:val="13"/>
                <w:color w:val="auto"/>
              </w:rPr>
            </w:pPr>
          </w:p>
        </w:tc>
        <w:tc>
          <w:tcPr>
            <w:tcW w:w="6020" w:type="dxa"/>
            <w:vAlign w:val="bottom"/>
            <w:gridSpan w:val="7"/>
          </w:tcPr>
          <w:p>
            <w:pPr>
              <w:spacing w:after="0" w:line="153" w:lineRule="exact"/>
              <w:rPr>
                <w:rFonts w:ascii="Times New Roman" w:cs="Times New Roman" w:eastAsia="Times New Roman" w:hAnsi="Times New Roman"/>
                <w:sz w:val="14"/>
                <w:szCs w:val="14"/>
                <w:color w:val="0000EE"/>
              </w:rPr>
            </w:pPr>
            <w:hyperlink r:id="rId67">
              <w:r>
                <w:rPr>
                  <w:rFonts w:ascii="Times New Roman" w:cs="Times New Roman" w:eastAsia="Times New Roman" w:hAnsi="Times New Roman"/>
                  <w:sz w:val="14"/>
                  <w:szCs w:val="14"/>
                  <w:color w:val="0000EE"/>
                </w:rPr>
                <w:t>(incorporated by reference to Exhibit 3.1 of the Company’s Current Report on Form 8-K filed</w:t>
              </w:r>
            </w:hyperlink>
          </w:p>
        </w:tc>
        <w:tc>
          <w:tcPr>
            <w:tcW w:w="40" w:type="dxa"/>
            <w:vAlign w:val="bottom"/>
          </w:tcPr>
          <w:p>
            <w:pPr>
              <w:spacing w:after="0"/>
              <w:rPr>
                <w:sz w:val="13"/>
                <w:szCs w:val="13"/>
                <w:color w:val="auto"/>
              </w:rPr>
            </w:pPr>
          </w:p>
        </w:tc>
      </w:tr>
      <w:tr>
        <w:trPr>
          <w:trHeight w:val="153"/>
        </w:trPr>
        <w:tc>
          <w:tcPr>
            <w:tcW w:w="160" w:type="dxa"/>
            <w:vAlign w:val="bottom"/>
          </w:tcPr>
          <w:p>
            <w:pPr>
              <w:spacing w:after="0"/>
              <w:rPr>
                <w:sz w:val="13"/>
                <w:szCs w:val="13"/>
                <w:color w:val="auto"/>
              </w:rPr>
            </w:pPr>
          </w:p>
        </w:tc>
        <w:tc>
          <w:tcPr>
            <w:tcW w:w="1240" w:type="dxa"/>
            <w:vAlign w:val="bottom"/>
            <w:tcBorders>
              <w:top w:val="single" w:sz="8" w:color="0000EE"/>
              <w:bottom w:val="single" w:sz="8" w:color="0000EE"/>
            </w:tcBorders>
            <w:gridSpan w:val="2"/>
          </w:tcPr>
          <w:p>
            <w:pPr>
              <w:spacing w:after="0" w:line="153" w:lineRule="exact"/>
              <w:rPr>
                <w:rFonts w:ascii="Times New Roman" w:cs="Times New Roman" w:eastAsia="Times New Roman" w:hAnsi="Times New Roman"/>
                <w:sz w:val="14"/>
                <w:szCs w:val="14"/>
                <w:color w:val="0000EE"/>
              </w:rPr>
            </w:pPr>
            <w:hyperlink r:id="rId67">
              <w:r>
                <w:rPr>
                  <w:rFonts w:ascii="Times New Roman" w:cs="Times New Roman" w:eastAsia="Times New Roman" w:hAnsi="Times New Roman"/>
                  <w:sz w:val="14"/>
                  <w:szCs w:val="14"/>
                  <w:color w:val="0000EE"/>
                </w:rPr>
                <w:t>September 2, 2025).</w:t>
              </w:r>
            </w:hyperlink>
          </w:p>
        </w:tc>
        <w:tc>
          <w:tcPr>
            <w:tcW w:w="4440" w:type="dxa"/>
            <w:vAlign w:val="bottom"/>
            <w:tcBorders>
              <w:top w:val="single" w:sz="8" w:color="0000EE"/>
            </w:tcBorders>
            <w:gridSpan w:val="3"/>
          </w:tcPr>
          <w:p>
            <w:pPr>
              <w:spacing w:after="0"/>
              <w:rPr>
                <w:sz w:val="13"/>
                <w:szCs w:val="13"/>
                <w:color w:val="auto"/>
              </w:rPr>
            </w:pPr>
          </w:p>
        </w:tc>
        <w:tc>
          <w:tcPr>
            <w:tcW w:w="3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r>
    </w:tbl>
    <w:p>
      <w:pPr>
        <w:spacing w:after="0" w:line="18" w:lineRule="exact"/>
        <w:rPr>
          <w:sz w:val="20"/>
          <w:szCs w:val="20"/>
          <w:color w:val="auto"/>
        </w:rPr>
      </w:pPr>
    </w:p>
    <w:p>
      <w:pPr>
        <w:sectPr>
          <w:pgSz w:w="11900" w:h="16838" w:orient="portrait"/>
          <w:cols w:equalWidth="0" w:num="2">
            <w:col w:w="1560" w:space="60"/>
            <w:col w:w="7399"/>
          </w:cols>
          <w:pgMar w:left="1440" w:top="97" w:right="1440" w:bottom="1440" w:gutter="0" w:footer="0" w:header="0"/>
          <w:type w:val="continuous"/>
        </w:sectPr>
      </w:pPr>
    </w:p>
    <w:tbl>
      <w:tblPr>
        <w:tblLayout w:type="fixed"/>
        <w:tblInd w:w="1220" w:type="dxa"/>
        <w:tblCellMar>
          <w:top w:w="0" w:type="dxa"/>
          <w:left w:w="0" w:type="dxa"/>
          <w:bottom w:w="0" w:type="dxa"/>
          <w:right w:w="0" w:type="dxa"/>
        </w:tblCellMar>
      </w:tblPr>
      <w:tr>
        <w:trPr>
          <w:trHeight w:val="177"/>
        </w:trPr>
        <w:tc>
          <w:tcPr>
            <w:tcW w:w="320" w:type="dxa"/>
            <w:vAlign w:val="bottom"/>
          </w:tcPr>
          <w:p>
            <w:pPr>
              <w:spacing w:after="0"/>
              <w:rPr>
                <w:sz w:val="20"/>
                <w:szCs w:val="20"/>
                <w:color w:val="auto"/>
              </w:rPr>
            </w:pPr>
            <w:r>
              <w:rPr>
                <w:rFonts w:ascii="Times New Roman" w:cs="Times New Roman" w:eastAsia="Times New Roman" w:hAnsi="Times New Roman"/>
                <w:sz w:val="14"/>
                <w:szCs w:val="14"/>
                <w:color w:val="auto"/>
              </w:rPr>
              <w:t>​ 3.3</w:t>
            </w:r>
          </w:p>
        </w:tc>
        <w:tc>
          <w:tcPr>
            <w:tcW w:w="6300" w:type="dxa"/>
            <w:vAlign w:val="bottom"/>
            <w:gridSpan w:val="10"/>
          </w:tcPr>
          <w:p>
            <w:pPr>
              <w:ind w:left="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 ​ </w:t>
            </w:r>
            <w:hyperlink r:id="rId68">
              <w:r>
                <w:rPr>
                  <w:rFonts w:ascii="Times New Roman" w:cs="Times New Roman" w:eastAsia="Times New Roman" w:hAnsi="Times New Roman"/>
                  <w:sz w:val="14"/>
                  <w:szCs w:val="14"/>
                  <w:color w:val="0000EE"/>
                </w:rPr>
                <w:t>Second Amended and Restated Bylaws (incorporated by reference to Exhibit 3.2 of the Company’s</w:t>
              </w:r>
              <w:r>
                <w:rPr>
                  <w:rFonts w:ascii="Times New Roman" w:cs="Times New Roman" w:eastAsia="Times New Roman" w:hAnsi="Times New Roman"/>
                  <w:sz w:val="14"/>
                  <w:szCs w:val="14"/>
                  <w:color w:val="auto"/>
                </w:rPr>
                <w:t xml:space="preserve"> </w:t>
              </w:r>
            </w:hyperlink>
            <w:r>
              <w:rPr>
                <w:rFonts w:ascii="Times New Roman" w:cs="Times New Roman" w:eastAsia="Times New Roman" w:hAnsi="Times New Roman"/>
                <w:sz w:val="14"/>
                <w:szCs w:val="14"/>
                <w:color w:val="auto"/>
              </w:rPr>
              <w:t>​</w:t>
            </w:r>
          </w:p>
        </w:tc>
      </w:tr>
      <w:tr>
        <w:trPr>
          <w:trHeight w:val="153"/>
        </w:trPr>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80" w:type="dxa"/>
            <w:vAlign w:val="bottom"/>
            <w:tcBorders>
              <w:top w:val="single" w:sz="8" w:color="0000EE"/>
              <w:bottom w:val="single" w:sz="8" w:color="0000EE"/>
            </w:tcBorders>
            <w:gridSpan w:val="3"/>
          </w:tcPr>
          <w:p>
            <w:pPr>
              <w:spacing w:after="0" w:line="153" w:lineRule="exact"/>
              <w:rPr>
                <w:rFonts w:ascii="Times New Roman" w:cs="Times New Roman" w:eastAsia="Times New Roman" w:hAnsi="Times New Roman"/>
                <w:sz w:val="14"/>
                <w:szCs w:val="14"/>
                <w:color w:val="0000EE"/>
              </w:rPr>
            </w:pPr>
            <w:hyperlink r:id="rId68">
              <w:r>
                <w:rPr>
                  <w:rFonts w:ascii="Times New Roman" w:cs="Times New Roman" w:eastAsia="Times New Roman" w:hAnsi="Times New Roman"/>
                  <w:sz w:val="14"/>
                  <w:szCs w:val="14"/>
                  <w:color w:val="0000EE"/>
                </w:rPr>
                <w:t>Current Report on Form 8-K filed March 3, 2023).</w:t>
              </w:r>
            </w:hyperlink>
          </w:p>
        </w:tc>
        <w:tc>
          <w:tcPr>
            <w:tcW w:w="2920" w:type="dxa"/>
            <w:vAlign w:val="bottom"/>
            <w:tcBorders>
              <w:top w:val="single" w:sz="8" w:color="0000EE"/>
            </w:tcBorders>
            <w:gridSpan w:val="5"/>
          </w:tcPr>
          <w:p>
            <w:pPr>
              <w:spacing w:after="0"/>
              <w:rPr>
                <w:sz w:val="13"/>
                <w:szCs w:val="13"/>
                <w:color w:val="auto"/>
              </w:rPr>
            </w:pPr>
          </w:p>
        </w:tc>
        <w:tc>
          <w:tcPr>
            <w:tcW w:w="60" w:type="dxa"/>
            <w:vAlign w:val="bottom"/>
          </w:tcPr>
          <w:p>
            <w:pPr>
              <w:spacing w:after="0"/>
              <w:rPr>
                <w:sz w:val="13"/>
                <w:szCs w:val="13"/>
                <w:color w:val="auto"/>
              </w:rPr>
            </w:pPr>
          </w:p>
        </w:tc>
      </w:tr>
      <w:tr>
        <w:trPr>
          <w:trHeight w:val="186"/>
        </w:trPr>
        <w:tc>
          <w:tcPr>
            <w:tcW w:w="320" w:type="dxa"/>
            <w:vAlign w:val="bottom"/>
          </w:tcPr>
          <w:p>
            <w:pPr>
              <w:spacing w:after="0"/>
              <w:rPr>
                <w:sz w:val="20"/>
                <w:szCs w:val="20"/>
                <w:color w:val="auto"/>
              </w:rPr>
            </w:pPr>
            <w:r>
              <w:rPr>
                <w:rFonts w:ascii="Times New Roman" w:cs="Times New Roman" w:eastAsia="Times New Roman" w:hAnsi="Times New Roman"/>
                <w:sz w:val="14"/>
                <w:szCs w:val="14"/>
                <w:color w:val="auto"/>
              </w:rPr>
              <w:t>​ 3.4</w:t>
            </w:r>
          </w:p>
        </w:tc>
        <w:tc>
          <w:tcPr>
            <w:tcW w:w="6240" w:type="dxa"/>
            <w:vAlign w:val="bottom"/>
            <w:gridSpan w:val="9"/>
          </w:tcPr>
          <w:p>
            <w:pPr>
              <w:ind w:left="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 ​ </w:t>
            </w:r>
            <w:hyperlink r:id="rId69">
              <w:r>
                <w:rPr>
                  <w:rFonts w:ascii="Times New Roman" w:cs="Times New Roman" w:eastAsia="Times New Roman" w:hAnsi="Times New Roman"/>
                  <w:sz w:val="14"/>
                  <w:szCs w:val="14"/>
                  <w:color w:val="0000EE"/>
                </w:rPr>
                <w:t>Certificate of Designations of Series A Convertible Preferred Stock of Lucid Group, Inc.</w:t>
              </w:r>
            </w:hyperlink>
          </w:p>
        </w:tc>
        <w:tc>
          <w:tcPr>
            <w:tcW w:w="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9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3"/>
        </w:trPr>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0" w:type="dxa"/>
            <w:vAlign w:val="bottom"/>
            <w:gridSpan w:val="8"/>
          </w:tcPr>
          <w:p>
            <w:pPr>
              <w:spacing w:after="0" w:line="153" w:lineRule="exact"/>
              <w:rPr>
                <w:rFonts w:ascii="Times New Roman" w:cs="Times New Roman" w:eastAsia="Times New Roman" w:hAnsi="Times New Roman"/>
                <w:sz w:val="14"/>
                <w:szCs w:val="14"/>
                <w:color w:val="0000EE"/>
              </w:rPr>
            </w:pPr>
            <w:hyperlink r:id="rId69">
              <w:r>
                <w:rPr>
                  <w:rFonts w:ascii="Times New Roman" w:cs="Times New Roman" w:eastAsia="Times New Roman" w:hAnsi="Times New Roman"/>
                  <w:sz w:val="14"/>
                  <w:szCs w:val="14"/>
                  <w:color w:val="0000EE"/>
                </w:rPr>
                <w:t>(incorporated by reference to Exhibit 3.1 of the Company’s Current Report on Form 8-K filed</w:t>
              </w:r>
            </w:hyperlink>
          </w:p>
        </w:tc>
        <w:tc>
          <w:tcPr>
            <w:tcW w:w="60" w:type="dxa"/>
            <w:vAlign w:val="bottom"/>
          </w:tcPr>
          <w:p>
            <w:pPr>
              <w:spacing w:after="0"/>
              <w:rPr>
                <w:sz w:val="13"/>
                <w:szCs w:val="13"/>
                <w:color w:val="auto"/>
              </w:rPr>
            </w:pPr>
          </w:p>
        </w:tc>
      </w:tr>
      <w:tr>
        <w:trPr>
          <w:trHeight w:val="153"/>
        </w:trPr>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Borders>
              <w:top w:val="single" w:sz="8" w:color="0000EE"/>
              <w:bottom w:val="single" w:sz="8" w:color="0000EE"/>
            </w:tcBorders>
          </w:tcPr>
          <w:p>
            <w:pPr>
              <w:spacing w:after="0" w:line="153" w:lineRule="exact"/>
              <w:rPr>
                <w:rFonts w:ascii="Times New Roman" w:cs="Times New Roman" w:eastAsia="Times New Roman" w:hAnsi="Times New Roman"/>
                <w:sz w:val="14"/>
                <w:szCs w:val="14"/>
                <w:color w:val="0000EE"/>
              </w:rPr>
            </w:pPr>
            <w:hyperlink r:id="rId69">
              <w:r>
                <w:rPr>
                  <w:rFonts w:ascii="Times New Roman" w:cs="Times New Roman" w:eastAsia="Times New Roman" w:hAnsi="Times New Roman"/>
                  <w:sz w:val="14"/>
                  <w:szCs w:val="14"/>
                  <w:color w:val="0000EE"/>
                </w:rPr>
                <w:t>March 29, 2024).</w:t>
              </w:r>
            </w:hyperlink>
          </w:p>
        </w:tc>
        <w:tc>
          <w:tcPr>
            <w:tcW w:w="4620" w:type="dxa"/>
            <w:vAlign w:val="bottom"/>
            <w:tcBorders>
              <w:top w:val="single" w:sz="8" w:color="0000EE"/>
            </w:tcBorders>
            <w:gridSpan w:val="5"/>
          </w:tcPr>
          <w:p>
            <w:pPr>
              <w:spacing w:after="0"/>
              <w:rPr>
                <w:sz w:val="13"/>
                <w:szCs w:val="13"/>
                <w:color w:val="auto"/>
              </w:rPr>
            </w:pPr>
          </w:p>
        </w:tc>
        <w:tc>
          <w:tcPr>
            <w:tcW w:w="32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r>
      <w:tr>
        <w:trPr>
          <w:trHeight w:val="197"/>
        </w:trPr>
        <w:tc>
          <w:tcPr>
            <w:tcW w:w="320" w:type="dxa"/>
            <w:vAlign w:val="bottom"/>
          </w:tcPr>
          <w:p>
            <w:pPr>
              <w:spacing w:after="0"/>
              <w:rPr>
                <w:sz w:val="20"/>
                <w:szCs w:val="20"/>
                <w:color w:val="auto"/>
              </w:rPr>
            </w:pPr>
            <w:r>
              <w:rPr>
                <w:rFonts w:ascii="Times New Roman" w:cs="Times New Roman" w:eastAsia="Times New Roman" w:hAnsi="Times New Roman"/>
                <w:sz w:val="14"/>
                <w:szCs w:val="14"/>
                <w:color w:val="auto"/>
              </w:rPr>
              <w:t>​ 3.5</w:t>
            </w:r>
          </w:p>
        </w:tc>
        <w:tc>
          <w:tcPr>
            <w:tcW w:w="6240" w:type="dxa"/>
            <w:vAlign w:val="bottom"/>
            <w:gridSpan w:val="9"/>
          </w:tcPr>
          <w:p>
            <w:pPr>
              <w:ind w:left="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 ​ </w:t>
            </w:r>
            <w:hyperlink r:id="rId70">
              <w:r>
                <w:rPr>
                  <w:rFonts w:ascii="Times New Roman" w:cs="Times New Roman" w:eastAsia="Times New Roman" w:hAnsi="Times New Roman"/>
                  <w:sz w:val="14"/>
                  <w:szCs w:val="14"/>
                  <w:color w:val="0000EE"/>
                </w:rPr>
                <w:t>Certificate of Designations of Series B Convertible Preferred Stock of Lucid Group, Inc.</w:t>
              </w:r>
            </w:hyperlink>
          </w:p>
        </w:tc>
        <w:tc>
          <w:tcPr>
            <w:tcW w:w="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39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3"/>
        </w:trPr>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0" w:type="dxa"/>
            <w:vAlign w:val="bottom"/>
            <w:gridSpan w:val="8"/>
          </w:tcPr>
          <w:p>
            <w:pPr>
              <w:spacing w:after="0" w:line="153" w:lineRule="exact"/>
              <w:rPr>
                <w:rFonts w:ascii="Times New Roman" w:cs="Times New Roman" w:eastAsia="Times New Roman" w:hAnsi="Times New Roman"/>
                <w:sz w:val="14"/>
                <w:szCs w:val="14"/>
                <w:color w:val="0000EE"/>
              </w:rPr>
            </w:pPr>
            <w:hyperlink r:id="rId70">
              <w:r>
                <w:rPr>
                  <w:rFonts w:ascii="Times New Roman" w:cs="Times New Roman" w:eastAsia="Times New Roman" w:hAnsi="Times New Roman"/>
                  <w:sz w:val="14"/>
                  <w:szCs w:val="14"/>
                  <w:color w:val="0000EE"/>
                </w:rPr>
                <w:t>(incorporated by reference to Exhibit 3.1 of the Company’s Current Report on Form 8-K filed</w:t>
              </w:r>
            </w:hyperlink>
          </w:p>
        </w:tc>
        <w:tc>
          <w:tcPr>
            <w:tcW w:w="60" w:type="dxa"/>
            <w:vAlign w:val="bottom"/>
          </w:tcPr>
          <w:p>
            <w:pPr>
              <w:spacing w:after="0"/>
              <w:rPr>
                <w:sz w:val="13"/>
                <w:szCs w:val="13"/>
                <w:color w:val="auto"/>
              </w:rPr>
            </w:pPr>
          </w:p>
        </w:tc>
      </w:tr>
      <w:tr>
        <w:trPr>
          <w:trHeight w:val="153"/>
        </w:trPr>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Borders>
              <w:top w:val="single" w:sz="8" w:color="0000EE"/>
              <w:bottom w:val="single" w:sz="8" w:color="0000EE"/>
            </w:tcBorders>
            <w:gridSpan w:val="2"/>
          </w:tcPr>
          <w:p>
            <w:pPr>
              <w:spacing w:after="0" w:line="153" w:lineRule="exact"/>
              <w:rPr>
                <w:rFonts w:ascii="Times New Roman" w:cs="Times New Roman" w:eastAsia="Times New Roman" w:hAnsi="Times New Roman"/>
                <w:sz w:val="14"/>
                <w:szCs w:val="14"/>
                <w:color w:val="0000EE"/>
              </w:rPr>
            </w:pPr>
            <w:hyperlink r:id="rId70">
              <w:r>
                <w:rPr>
                  <w:rFonts w:ascii="Times New Roman" w:cs="Times New Roman" w:eastAsia="Times New Roman" w:hAnsi="Times New Roman"/>
                  <w:sz w:val="14"/>
                  <w:szCs w:val="14"/>
                  <w:color w:val="0000EE"/>
                </w:rPr>
                <w:t>August 19, 2024).</w:t>
              </w:r>
            </w:hyperlink>
          </w:p>
        </w:tc>
        <w:tc>
          <w:tcPr>
            <w:tcW w:w="4580" w:type="dxa"/>
            <w:vAlign w:val="bottom"/>
            <w:tcBorders>
              <w:top w:val="single" w:sz="8" w:color="0000EE"/>
            </w:tcBorders>
            <w:gridSpan w:val="4"/>
          </w:tcPr>
          <w:p>
            <w:pPr>
              <w:spacing w:after="0"/>
              <w:rPr>
                <w:sz w:val="13"/>
                <w:szCs w:val="13"/>
                <w:color w:val="auto"/>
              </w:rPr>
            </w:pPr>
          </w:p>
        </w:tc>
        <w:tc>
          <w:tcPr>
            <w:tcW w:w="32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r>
      <w:tr>
        <w:trPr>
          <w:trHeight w:val="197"/>
        </w:trPr>
        <w:tc>
          <w:tcPr>
            <w:tcW w:w="320" w:type="dxa"/>
            <w:vAlign w:val="bottom"/>
          </w:tcPr>
          <w:p>
            <w:pPr>
              <w:spacing w:after="0"/>
              <w:rPr>
                <w:sz w:val="20"/>
                <w:szCs w:val="20"/>
                <w:color w:val="auto"/>
              </w:rPr>
            </w:pPr>
            <w:r>
              <w:rPr>
                <w:rFonts w:ascii="Times New Roman" w:cs="Times New Roman" w:eastAsia="Times New Roman" w:hAnsi="Times New Roman"/>
                <w:sz w:val="14"/>
                <w:szCs w:val="14"/>
                <w:color w:val="auto"/>
              </w:rPr>
              <w:t>​ 4.1</w:t>
            </w:r>
          </w:p>
        </w:tc>
        <w:tc>
          <w:tcPr>
            <w:tcW w:w="6240" w:type="dxa"/>
            <w:vAlign w:val="bottom"/>
            <w:gridSpan w:val="9"/>
          </w:tcPr>
          <w:p>
            <w:pPr>
              <w:ind w:left="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 ​ </w:t>
            </w:r>
            <w:hyperlink r:id="rId71">
              <w:r>
                <w:rPr>
                  <w:rFonts w:ascii="Times New Roman" w:cs="Times New Roman" w:eastAsia="Times New Roman" w:hAnsi="Times New Roman"/>
                  <w:sz w:val="14"/>
                  <w:szCs w:val="14"/>
                  <w:color w:val="0000EE"/>
                </w:rPr>
                <w:t>Specimen Class A Common Stock Certificate of Lucid Group, Inc. (incorporated by reference to</w:t>
              </w:r>
            </w:hyperlink>
          </w:p>
        </w:tc>
        <w:tc>
          <w:tcPr>
            <w:tcW w:w="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r>
      <w:tr>
        <w:trPr>
          <w:trHeight w:val="153"/>
        </w:trPr>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20" w:type="dxa"/>
            <w:vAlign w:val="bottom"/>
            <w:tcBorders>
              <w:top w:val="single" w:sz="8" w:color="0000EE"/>
              <w:bottom w:val="single" w:sz="8" w:color="0000EE"/>
            </w:tcBorders>
            <w:gridSpan w:val="4"/>
          </w:tcPr>
          <w:p>
            <w:pPr>
              <w:spacing w:after="0" w:line="153" w:lineRule="exact"/>
              <w:rPr>
                <w:rFonts w:ascii="Times New Roman" w:cs="Times New Roman" w:eastAsia="Times New Roman" w:hAnsi="Times New Roman"/>
                <w:sz w:val="14"/>
                <w:szCs w:val="14"/>
                <w:color w:val="0000EE"/>
              </w:rPr>
            </w:pPr>
            <w:hyperlink r:id="rId71">
              <w:r>
                <w:rPr>
                  <w:rFonts w:ascii="Times New Roman" w:cs="Times New Roman" w:eastAsia="Times New Roman" w:hAnsi="Times New Roman"/>
                  <w:sz w:val="14"/>
                  <w:szCs w:val="14"/>
                  <w:color w:val="0000EE"/>
                </w:rPr>
                <w:t>Exhibit 4.1 to the Company’s Current Report on Form 8-K filed on July 26, 2021).</w:t>
              </w:r>
            </w:hyperlink>
          </w:p>
        </w:tc>
        <w:tc>
          <w:tcPr>
            <w:tcW w:w="820" w:type="dxa"/>
            <w:vAlign w:val="bottom"/>
            <w:tcBorders>
              <w:top w:val="single" w:sz="8" w:color="0000EE"/>
            </w:tcBorders>
            <w:gridSpan w:val="3"/>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r>
    </w:tbl>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203835</wp:posOffset>
            </wp:positionV>
            <wp:extent cx="5479415" cy="393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2">
                      <a:extLst>
                        <a:ext uri="{28A0092B-C50C-407E-A947-70E740481C1C}"/>
                      </a:extLst>
                    </a:blip>
                    <a:srcRect/>
                    <a:stretch>
                      <a:fillRect/>
                    </a:stretch>
                  </pic:blipFill>
                  <pic:spPr bwMode="auto">
                    <a:xfrm>
                      <a:off x="0" y="0"/>
                      <a:ext cx="5479415"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type w:val="continuous"/>
        </w:sectPr>
      </w:pPr>
    </w:p>
    <w:bookmarkStart w:id="22" w:name="page23"/>
    <w:bookmarkEnd w:id="22"/>
    <w:p>
      <w:pPr>
        <w:ind w:left="200"/>
        <w:spacing w:after="0"/>
        <w:rPr>
          <w:sz w:val="20"/>
          <w:szCs w:val="20"/>
          <w:color w:val="auto"/>
        </w:rPr>
      </w:pPr>
      <w:r>
        <w:rPr>
          <w:rFonts w:ascii="Calibri" w:cs="Calibri" w:eastAsia="Calibri" w:hAnsi="Calibri"/>
          <w:sz w:val="10"/>
          <w:szCs w:val="10"/>
          <w:color w:val="003366"/>
        </w:rPr>
        <w:t>TABLE OF CONTENTS</w:t>
      </w:r>
    </w:p>
    <w:p>
      <w:pPr>
        <w:sectPr>
          <w:pgSz w:w="11900" w:h="16838" w:orient="portrait"/>
          <w:cols w:equalWidth="0" w:num="1">
            <w:col w:w="9019"/>
          </w:cols>
          <w:pgMar w:left="1440" w:top="10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0"/>
          <w:szCs w:val="10"/>
          <w:b w:val="1"/>
          <w:bCs w:val="1"/>
          <w:color w:val="auto"/>
        </w:rPr>
        <w:t>Exhibit</w:t>
      </w:r>
    </w:p>
    <w:p>
      <w:pPr>
        <w:ind w:left="1340" w:hanging="128"/>
        <w:spacing w:after="0" w:line="182" w:lineRule="auto"/>
        <w:tabs>
          <w:tab w:leader="none" w:pos="1340" w:val="left"/>
        </w:tabs>
        <w:numPr>
          <w:ilvl w:val="0"/>
          <w:numId w:val="16"/>
        </w:numPr>
        <w:rPr>
          <w:rFonts w:ascii="Times New Roman" w:cs="Times New Roman" w:eastAsia="Times New Roman" w:hAnsi="Times New Roman"/>
          <w:sz w:val="19"/>
          <w:szCs w:val="19"/>
          <w:b w:val="1"/>
          <w:bCs w:val="1"/>
          <w:color w:val="auto"/>
          <w:vertAlign w:val="subscript"/>
        </w:rPr>
      </w:pPr>
      <w:r>
        <w:rPr>
          <w:rFonts w:ascii="Times New Roman" w:cs="Times New Roman" w:eastAsia="Times New Roman" w:hAnsi="Times New Roman"/>
          <w:sz w:val="10"/>
          <w:szCs w:val="10"/>
          <w:b w:val="1"/>
          <w:bCs w:val="1"/>
          <w:color w:val="auto"/>
        </w:rPr>
        <w:t>No.</w:t>
      </w:r>
    </w:p>
    <w:p>
      <w:pPr>
        <w:spacing w:after="0" w:line="38" w:lineRule="exact"/>
        <w:rPr>
          <w:rFonts w:ascii="Times New Roman" w:cs="Times New Roman" w:eastAsia="Times New Roman" w:hAnsi="Times New Roman"/>
          <w:sz w:val="19"/>
          <w:szCs w:val="19"/>
          <w:b w:val="1"/>
          <w:bCs w:val="1"/>
          <w:color w:val="auto"/>
          <w:vertAlign w:val="subscript"/>
        </w:rPr>
      </w:pPr>
    </w:p>
    <w:p>
      <w:pPr>
        <w:ind w:left="1280" w:hanging="68"/>
        <w:spacing w:after="0"/>
        <w:tabs>
          <w:tab w:leader="none" w:pos="12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4.2</w:t>
      </w:r>
    </w:p>
    <w:p>
      <w:pPr>
        <w:spacing w:after="0" w:line="200" w:lineRule="exact"/>
        <w:rPr>
          <w:rFonts w:ascii="Times New Roman" w:cs="Times New Roman" w:eastAsia="Times New Roman" w:hAnsi="Times New Roman"/>
          <w:sz w:val="14"/>
          <w:szCs w:val="14"/>
          <w:color w:val="auto"/>
        </w:rPr>
      </w:pPr>
    </w:p>
    <w:p>
      <w:pPr>
        <w:spacing w:after="0" w:line="364" w:lineRule="exact"/>
        <w:rPr>
          <w:rFonts w:ascii="Times New Roman" w:cs="Times New Roman" w:eastAsia="Times New Roman" w:hAnsi="Times New Roman"/>
          <w:sz w:val="14"/>
          <w:szCs w:val="14"/>
          <w:color w:val="auto"/>
        </w:rPr>
      </w:pPr>
    </w:p>
    <w:p>
      <w:pPr>
        <w:ind w:left="1280" w:hanging="68"/>
        <w:spacing w:after="0"/>
        <w:tabs>
          <w:tab w:leader="none" w:pos="12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4.3</w:t>
      </w:r>
    </w:p>
    <w:p>
      <w:pPr>
        <w:spacing w:after="0" w:line="391" w:lineRule="exact"/>
        <w:rPr>
          <w:rFonts w:ascii="Times New Roman" w:cs="Times New Roman" w:eastAsia="Times New Roman" w:hAnsi="Times New Roman"/>
          <w:sz w:val="14"/>
          <w:szCs w:val="14"/>
          <w:color w:val="auto"/>
        </w:rPr>
      </w:pPr>
    </w:p>
    <w:p>
      <w:pPr>
        <w:ind w:left="1280" w:hanging="68"/>
        <w:spacing w:after="0"/>
        <w:tabs>
          <w:tab w:leader="none" w:pos="12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4.3</w:t>
      </w:r>
    </w:p>
    <w:p>
      <w:pPr>
        <w:spacing w:after="0" w:line="391" w:lineRule="exact"/>
        <w:rPr>
          <w:rFonts w:ascii="Times New Roman" w:cs="Times New Roman" w:eastAsia="Times New Roman" w:hAnsi="Times New Roman"/>
          <w:sz w:val="14"/>
          <w:szCs w:val="14"/>
          <w:color w:val="auto"/>
        </w:rPr>
      </w:pPr>
    </w:p>
    <w:p>
      <w:pPr>
        <w:ind w:left="1280" w:hanging="68"/>
        <w:spacing w:after="0"/>
        <w:tabs>
          <w:tab w:leader="none" w:pos="12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772795</wp:posOffset>
            </wp:positionH>
            <wp:positionV relativeFrom="paragraph">
              <wp:posOffset>-1275080</wp:posOffset>
            </wp:positionV>
            <wp:extent cx="261620"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3">
                      <a:extLst>
                        <a:ext uri="{28A0092B-C50C-407E-A947-70E740481C1C}"/>
                      </a:extLst>
                    </a:blip>
                    <a:srcRect/>
                    <a:stretch>
                      <a:fillRect/>
                    </a:stretch>
                  </pic:blipFill>
                  <pic:spPr bwMode="auto">
                    <a:xfrm>
                      <a:off x="0" y="0"/>
                      <a:ext cx="26162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18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2320" w:type="dxa"/>
            <w:vAlign w:val="bottom"/>
            <w:tcBorders>
              <w:bottom w:val="single" w:sz="8" w:color="auto"/>
            </w:tcBorders>
          </w:tcPr>
          <w:p>
            <w:pPr>
              <w:spacing w:after="0"/>
              <w:rPr>
                <w:sz w:val="14"/>
                <w:szCs w:val="14"/>
                <w:color w:val="auto"/>
              </w:rPr>
            </w:pPr>
          </w:p>
        </w:tc>
        <w:tc>
          <w:tcPr>
            <w:tcW w:w="3680" w:type="dxa"/>
            <w:vAlign w:val="bottom"/>
            <w:tcBorders>
              <w:bottom w:val="single" w:sz="8" w:color="auto"/>
            </w:tcBorders>
            <w:gridSpan w:val="8"/>
          </w:tcPr>
          <w:p>
            <w:pPr>
              <w:ind w:left="140"/>
              <w:spacing w:after="0"/>
              <w:rPr>
                <w:sz w:val="20"/>
                <w:szCs w:val="20"/>
                <w:color w:val="auto"/>
              </w:rPr>
            </w:pPr>
            <w:r>
              <w:rPr>
                <w:rFonts w:ascii="Times New Roman" w:cs="Times New Roman" w:eastAsia="Times New Roman" w:hAnsi="Times New Roman"/>
                <w:sz w:val="12"/>
                <w:szCs w:val="12"/>
                <w:b w:val="1"/>
                <w:bCs w:val="1"/>
                <w:color w:val="auto"/>
              </w:rPr>
              <w:t>Description of Exhibits</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53"/>
        </w:trPr>
        <w:tc>
          <w:tcPr>
            <w:tcW w:w="18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 ​</w:t>
            </w:r>
          </w:p>
        </w:tc>
        <w:tc>
          <w:tcPr>
            <w:tcW w:w="6000" w:type="dxa"/>
            <w:vAlign w:val="bottom"/>
            <w:gridSpan w:val="9"/>
          </w:tcPr>
          <w:p>
            <w:pPr>
              <w:spacing w:after="0" w:line="153" w:lineRule="exact"/>
              <w:rPr>
                <w:rFonts w:ascii="Times New Roman" w:cs="Times New Roman" w:eastAsia="Times New Roman" w:hAnsi="Times New Roman"/>
                <w:sz w:val="14"/>
                <w:szCs w:val="14"/>
                <w:color w:val="0000EE"/>
              </w:rPr>
            </w:pPr>
            <w:hyperlink r:id="rId74">
              <w:r>
                <w:rPr>
                  <w:rFonts w:ascii="Times New Roman" w:cs="Times New Roman" w:eastAsia="Times New Roman" w:hAnsi="Times New Roman"/>
                  <w:sz w:val="14"/>
                  <w:szCs w:val="14"/>
                  <w:color w:val="0000EE"/>
                </w:rPr>
                <w:t>Investor Rights Agreement, dated as of February 22, 2021, by and among Churchill Capital</w:t>
              </w:r>
            </w:hyperlink>
          </w:p>
        </w:tc>
        <w:tc>
          <w:tcPr>
            <w:tcW w:w="4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w:t>
            </w:r>
          </w:p>
        </w:tc>
      </w:tr>
      <w:tr>
        <w:trPr>
          <w:trHeight w:val="20"/>
        </w:trPr>
        <w:tc>
          <w:tcPr>
            <w:tcW w:w="180" w:type="dxa"/>
            <w:vAlign w:val="bottom"/>
            <w:tcBorders>
              <w:right w:val="single" w:sz="8" w:color="0000EE"/>
            </w:tcBorders>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3"/>
        </w:trPr>
        <w:tc>
          <w:tcPr>
            <w:tcW w:w="180" w:type="dxa"/>
            <w:vAlign w:val="bottom"/>
          </w:tcPr>
          <w:p>
            <w:pPr>
              <w:spacing w:after="0"/>
              <w:rPr>
                <w:sz w:val="13"/>
                <w:szCs w:val="13"/>
                <w:color w:val="auto"/>
              </w:rPr>
            </w:pPr>
          </w:p>
        </w:tc>
        <w:tc>
          <w:tcPr>
            <w:tcW w:w="5940" w:type="dxa"/>
            <w:vAlign w:val="bottom"/>
            <w:tcBorders>
              <w:bottom w:val="single" w:sz="8" w:color="0000EE"/>
            </w:tcBorders>
            <w:gridSpan w:val="8"/>
          </w:tcPr>
          <w:p>
            <w:pPr>
              <w:spacing w:after="0" w:line="153" w:lineRule="exact"/>
              <w:rPr>
                <w:rFonts w:ascii="Times New Roman" w:cs="Times New Roman" w:eastAsia="Times New Roman" w:hAnsi="Times New Roman"/>
                <w:sz w:val="14"/>
                <w:szCs w:val="14"/>
                <w:color w:val="0000EE"/>
              </w:rPr>
            </w:pPr>
            <w:hyperlink r:id="rId74">
              <w:r>
                <w:rPr>
                  <w:rFonts w:ascii="Times New Roman" w:cs="Times New Roman" w:eastAsia="Times New Roman" w:hAnsi="Times New Roman"/>
                  <w:sz w:val="14"/>
                  <w:szCs w:val="14"/>
                  <w:color w:val="0000EE"/>
                </w:rPr>
                <w:t>Corp IV, Ayar Third Investment Company, Churchill Sponsor IV LLC and the other parties named</w:t>
              </w:r>
            </w:hyperlink>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3"/>
        </w:trPr>
        <w:tc>
          <w:tcPr>
            <w:tcW w:w="180" w:type="dxa"/>
            <w:vAlign w:val="bottom"/>
          </w:tcPr>
          <w:p>
            <w:pPr>
              <w:spacing w:after="0"/>
              <w:rPr>
                <w:sz w:val="13"/>
                <w:szCs w:val="13"/>
                <w:color w:val="auto"/>
              </w:rPr>
            </w:pPr>
          </w:p>
        </w:tc>
        <w:tc>
          <w:tcPr>
            <w:tcW w:w="5840" w:type="dxa"/>
            <w:vAlign w:val="bottom"/>
            <w:tcBorders>
              <w:bottom w:val="single" w:sz="8" w:color="0000EE"/>
            </w:tcBorders>
            <w:gridSpan w:val="6"/>
          </w:tcPr>
          <w:p>
            <w:pPr>
              <w:spacing w:after="0" w:line="153" w:lineRule="exact"/>
              <w:rPr>
                <w:rFonts w:ascii="Times New Roman" w:cs="Times New Roman" w:eastAsia="Times New Roman" w:hAnsi="Times New Roman"/>
                <w:sz w:val="14"/>
                <w:szCs w:val="14"/>
                <w:color w:val="0000EE"/>
              </w:rPr>
            </w:pPr>
            <w:hyperlink r:id="rId74">
              <w:r>
                <w:rPr>
                  <w:rFonts w:ascii="Times New Roman" w:cs="Times New Roman" w:eastAsia="Times New Roman" w:hAnsi="Times New Roman"/>
                  <w:sz w:val="14"/>
                  <w:szCs w:val="14"/>
                  <w:color w:val="0000EE"/>
                </w:rPr>
                <w:t>therein (incorporated by reference to Exhibit 10.1 to Churchill Capital Corp IV’s Current Report</w:t>
              </w:r>
            </w:hyperlink>
          </w:p>
        </w:tc>
        <w:tc>
          <w:tcPr>
            <w:tcW w:w="16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r>
      <w:tr>
        <w:trPr>
          <w:trHeight w:val="153"/>
        </w:trPr>
        <w:tc>
          <w:tcPr>
            <w:tcW w:w="180" w:type="dxa"/>
            <w:vAlign w:val="bottom"/>
          </w:tcPr>
          <w:p>
            <w:pPr>
              <w:spacing w:after="0"/>
              <w:rPr>
                <w:sz w:val="13"/>
                <w:szCs w:val="13"/>
                <w:color w:val="auto"/>
              </w:rPr>
            </w:pPr>
          </w:p>
        </w:tc>
        <w:tc>
          <w:tcPr>
            <w:tcW w:w="6000" w:type="dxa"/>
            <w:vAlign w:val="bottom"/>
            <w:gridSpan w:val="9"/>
          </w:tcPr>
          <w:p>
            <w:pPr>
              <w:spacing w:after="0" w:line="153" w:lineRule="exact"/>
              <w:rPr>
                <w:rFonts w:ascii="Times New Roman" w:cs="Times New Roman" w:eastAsia="Times New Roman" w:hAnsi="Times New Roman"/>
                <w:sz w:val="14"/>
                <w:szCs w:val="14"/>
                <w:color w:val="0000EE"/>
              </w:rPr>
            </w:pPr>
            <w:hyperlink r:id="rId74">
              <w:r>
                <w:rPr>
                  <w:rFonts w:ascii="Times New Roman" w:cs="Times New Roman" w:eastAsia="Times New Roman" w:hAnsi="Times New Roman"/>
                  <w:sz w:val="14"/>
                  <w:szCs w:val="14"/>
                  <w:color w:val="0000EE"/>
                </w:rPr>
                <w:t>on Form 8-K filed February 22, 2021).</w:t>
              </w:r>
            </w:hyperlink>
          </w:p>
        </w:tc>
        <w:tc>
          <w:tcPr>
            <w:tcW w:w="40" w:type="dxa"/>
            <w:vAlign w:val="bottom"/>
          </w:tcPr>
          <w:p>
            <w:pPr>
              <w:spacing w:after="0"/>
              <w:rPr>
                <w:sz w:val="13"/>
                <w:szCs w:val="13"/>
                <w:color w:val="auto"/>
              </w:rPr>
            </w:pPr>
          </w:p>
        </w:tc>
      </w:tr>
      <w:tr>
        <w:trPr>
          <w:trHeight w:val="20"/>
        </w:trPr>
        <w:tc>
          <w:tcPr>
            <w:tcW w:w="180" w:type="dxa"/>
            <w:vAlign w:val="bottom"/>
            <w:tcBorders>
              <w:right w:val="single" w:sz="8" w:color="0000EE"/>
            </w:tcBorders>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6"/>
        </w:trPr>
        <w:tc>
          <w:tcPr>
            <w:tcW w:w="6180" w:type="dxa"/>
            <w:vAlign w:val="bottom"/>
            <w:gridSpan w:val="10"/>
          </w:tcPr>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 ​ </w:t>
            </w:r>
            <w:hyperlink r:id="rId75">
              <w:r>
                <w:rPr>
                  <w:rFonts w:ascii="Times New Roman" w:cs="Times New Roman" w:eastAsia="Times New Roman" w:hAnsi="Times New Roman"/>
                  <w:sz w:val="14"/>
                  <w:szCs w:val="14"/>
                  <w:color w:val="0000EE"/>
                </w:rPr>
                <w:t>Amendment No. 1 to the Investor Rights Agreement, dated November 8, 2022, between Lucid</w:t>
              </w:r>
            </w:hyperlink>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153"/>
        </w:trPr>
        <w:tc>
          <w:tcPr>
            <w:tcW w:w="180" w:type="dxa"/>
            <w:vAlign w:val="bottom"/>
          </w:tcPr>
          <w:p>
            <w:pPr>
              <w:spacing w:after="0"/>
              <w:rPr>
                <w:sz w:val="13"/>
                <w:szCs w:val="13"/>
                <w:color w:val="auto"/>
              </w:rPr>
            </w:pPr>
          </w:p>
        </w:tc>
        <w:tc>
          <w:tcPr>
            <w:tcW w:w="5700" w:type="dxa"/>
            <w:vAlign w:val="bottom"/>
            <w:tcBorders>
              <w:top w:val="single" w:sz="8" w:color="0000EE"/>
            </w:tcBorders>
            <w:gridSpan w:val="4"/>
          </w:tcPr>
          <w:p>
            <w:pPr>
              <w:spacing w:after="0" w:line="153" w:lineRule="exact"/>
              <w:rPr>
                <w:rFonts w:ascii="Times New Roman" w:cs="Times New Roman" w:eastAsia="Times New Roman" w:hAnsi="Times New Roman"/>
                <w:sz w:val="14"/>
                <w:szCs w:val="14"/>
                <w:color w:val="0000EE"/>
              </w:rPr>
            </w:pPr>
            <w:hyperlink r:id="rId75">
              <w:r>
                <w:rPr>
                  <w:rFonts w:ascii="Times New Roman" w:cs="Times New Roman" w:eastAsia="Times New Roman" w:hAnsi="Times New Roman"/>
                  <w:sz w:val="14"/>
                  <w:szCs w:val="14"/>
                  <w:color w:val="0000EE"/>
                </w:rPr>
                <w:t>Group, Inc., Ayar Third Investment Company and the other parties thereto (incorporated by</w:t>
              </w:r>
            </w:hyperlink>
          </w:p>
        </w:tc>
        <w:tc>
          <w:tcPr>
            <w:tcW w:w="300" w:type="dxa"/>
            <w:vAlign w:val="bottom"/>
            <w:gridSpan w:val="5"/>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80" w:type="dxa"/>
            <w:vAlign w:val="bottom"/>
            <w:tcBorders>
              <w:right w:val="single" w:sz="8" w:color="0000EE"/>
            </w:tcBorders>
          </w:tcPr>
          <w:p>
            <w:pPr>
              <w:spacing w:after="0" w:line="20" w:lineRule="exact"/>
              <w:rPr>
                <w:sz w:val="1"/>
                <w:szCs w:val="1"/>
                <w:color w:val="auto"/>
              </w:rPr>
            </w:pPr>
          </w:p>
        </w:tc>
        <w:tc>
          <w:tcPr>
            <w:tcW w:w="482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3"/>
        </w:trPr>
        <w:tc>
          <w:tcPr>
            <w:tcW w:w="180" w:type="dxa"/>
            <w:vAlign w:val="bottom"/>
          </w:tcPr>
          <w:p>
            <w:pPr>
              <w:spacing w:after="0"/>
              <w:rPr>
                <w:sz w:val="13"/>
                <w:szCs w:val="13"/>
                <w:color w:val="auto"/>
              </w:rPr>
            </w:pPr>
          </w:p>
        </w:tc>
        <w:tc>
          <w:tcPr>
            <w:tcW w:w="5940" w:type="dxa"/>
            <w:vAlign w:val="bottom"/>
            <w:tcBorders>
              <w:bottom w:val="single" w:sz="8" w:color="0000EE"/>
            </w:tcBorders>
            <w:gridSpan w:val="8"/>
          </w:tcPr>
          <w:p>
            <w:pPr>
              <w:spacing w:after="0" w:line="153" w:lineRule="exact"/>
              <w:rPr>
                <w:rFonts w:ascii="Times New Roman" w:cs="Times New Roman" w:eastAsia="Times New Roman" w:hAnsi="Times New Roman"/>
                <w:sz w:val="14"/>
                <w:szCs w:val="14"/>
                <w:color w:val="0000EE"/>
              </w:rPr>
            </w:pPr>
            <w:hyperlink r:id="rId75">
              <w:r>
                <w:rPr>
                  <w:rFonts w:ascii="Times New Roman" w:cs="Times New Roman" w:eastAsia="Times New Roman" w:hAnsi="Times New Roman"/>
                  <w:sz w:val="14"/>
                  <w:szCs w:val="14"/>
                  <w:color w:val="0000EE"/>
                </w:rPr>
                <w:t>reference to Exhibit 10.2 to the Company’s Current Report on Form 8-K filed November 8, 2022).</w:t>
              </w:r>
            </w:hyperlink>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86"/>
        </w:trPr>
        <w:tc>
          <w:tcPr>
            <w:tcW w:w="6180" w:type="dxa"/>
            <w:vAlign w:val="bottom"/>
            <w:gridSpan w:val="10"/>
          </w:tcPr>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 ​ </w:t>
            </w:r>
            <w:hyperlink r:id="rId76">
              <w:r>
                <w:rPr>
                  <w:rFonts w:ascii="Times New Roman" w:cs="Times New Roman" w:eastAsia="Times New Roman" w:hAnsi="Times New Roman"/>
                  <w:sz w:val="14"/>
                  <w:szCs w:val="14"/>
                  <w:color w:val="0000EE"/>
                </w:rPr>
                <w:t>Amendment No. 2 to the Investor Rights Agreement, dated May 31, 2023, between Lucid Group,</w:t>
              </w:r>
            </w:hyperlink>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153"/>
        </w:trPr>
        <w:tc>
          <w:tcPr>
            <w:tcW w:w="180" w:type="dxa"/>
            <w:vAlign w:val="bottom"/>
          </w:tcPr>
          <w:p>
            <w:pPr>
              <w:spacing w:after="0"/>
              <w:rPr>
                <w:sz w:val="13"/>
                <w:szCs w:val="13"/>
                <w:color w:val="auto"/>
              </w:rPr>
            </w:pPr>
          </w:p>
        </w:tc>
        <w:tc>
          <w:tcPr>
            <w:tcW w:w="5820" w:type="dxa"/>
            <w:vAlign w:val="bottom"/>
            <w:tcBorders>
              <w:top w:val="single" w:sz="8" w:color="0000EE"/>
              <w:bottom w:val="single" w:sz="8" w:color="0000EE"/>
            </w:tcBorders>
            <w:gridSpan w:val="5"/>
          </w:tcPr>
          <w:p>
            <w:pPr>
              <w:spacing w:after="0" w:line="153" w:lineRule="exact"/>
              <w:rPr>
                <w:rFonts w:ascii="Times New Roman" w:cs="Times New Roman" w:eastAsia="Times New Roman" w:hAnsi="Times New Roman"/>
                <w:sz w:val="14"/>
                <w:szCs w:val="14"/>
                <w:color w:val="0000EE"/>
              </w:rPr>
            </w:pPr>
            <w:hyperlink r:id="rId76">
              <w:r>
                <w:rPr>
                  <w:rFonts w:ascii="Times New Roman" w:cs="Times New Roman" w:eastAsia="Times New Roman" w:hAnsi="Times New Roman"/>
                  <w:sz w:val="14"/>
                  <w:szCs w:val="14"/>
                  <w:color w:val="0000EE"/>
                </w:rPr>
                <w:t>Inc., Ayar Third Investment Company and the other parties thereto (incorporated by reference to</w:t>
              </w:r>
            </w:hyperlink>
          </w:p>
        </w:tc>
        <w:tc>
          <w:tcPr>
            <w:tcW w:w="60" w:type="dxa"/>
            <w:vAlign w:val="bottom"/>
            <w:tcBorders>
              <w:top w:val="single" w:sz="8" w:color="0000EE"/>
            </w:tcBorders>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r>
      <w:tr>
        <w:trPr>
          <w:trHeight w:val="153"/>
        </w:trPr>
        <w:tc>
          <w:tcPr>
            <w:tcW w:w="180" w:type="dxa"/>
            <w:vAlign w:val="bottom"/>
          </w:tcPr>
          <w:p>
            <w:pPr>
              <w:spacing w:after="0"/>
              <w:rPr>
                <w:sz w:val="13"/>
                <w:szCs w:val="13"/>
                <w:color w:val="auto"/>
              </w:rPr>
            </w:pPr>
          </w:p>
        </w:tc>
        <w:tc>
          <w:tcPr>
            <w:tcW w:w="6000" w:type="dxa"/>
            <w:vAlign w:val="bottom"/>
            <w:gridSpan w:val="9"/>
          </w:tcPr>
          <w:p>
            <w:pPr>
              <w:spacing w:after="0" w:line="153" w:lineRule="exact"/>
              <w:rPr>
                <w:rFonts w:ascii="Times New Roman" w:cs="Times New Roman" w:eastAsia="Times New Roman" w:hAnsi="Times New Roman"/>
                <w:sz w:val="14"/>
                <w:szCs w:val="14"/>
                <w:color w:val="0000EE"/>
              </w:rPr>
            </w:pPr>
            <w:hyperlink r:id="rId76">
              <w:r>
                <w:rPr>
                  <w:rFonts w:ascii="Times New Roman" w:cs="Times New Roman" w:eastAsia="Times New Roman" w:hAnsi="Times New Roman"/>
                  <w:sz w:val="14"/>
                  <w:szCs w:val="14"/>
                  <w:color w:val="0000EE"/>
                </w:rPr>
                <w:t>Exhibit 10.2 to the Company’s Current Report on Form 8-K filed June 5, 2023).</w:t>
              </w:r>
            </w:hyperlink>
          </w:p>
        </w:tc>
        <w:tc>
          <w:tcPr>
            <w:tcW w:w="40" w:type="dxa"/>
            <w:vAlign w:val="bottom"/>
          </w:tcPr>
          <w:p>
            <w:pPr>
              <w:spacing w:after="0"/>
              <w:rPr>
                <w:sz w:val="13"/>
                <w:szCs w:val="13"/>
                <w:color w:val="auto"/>
              </w:rPr>
            </w:pPr>
          </w:p>
        </w:tc>
      </w:tr>
      <w:tr>
        <w:trPr>
          <w:trHeight w:val="20"/>
        </w:trPr>
        <w:tc>
          <w:tcPr>
            <w:tcW w:w="180" w:type="dxa"/>
            <w:vAlign w:val="bottom"/>
            <w:tcBorders>
              <w:right w:val="single" w:sz="8" w:color="0000EE"/>
            </w:tcBorders>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 w:lineRule="exact"/>
        <w:rPr>
          <w:sz w:val="20"/>
          <w:szCs w:val="20"/>
          <w:color w:val="auto"/>
        </w:rPr>
      </w:pPr>
    </w:p>
    <w:p>
      <w:pPr>
        <w:ind w:left="160" w:right="1179" w:hanging="161"/>
        <w:spacing w:after="0" w:line="276" w:lineRule="auto"/>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 xml:space="preserve">​ ​ </w:t>
      </w:r>
      <w:hyperlink r:id="rId77">
        <w:r>
          <w:rPr>
            <w:rFonts w:ascii="Times New Roman" w:cs="Times New Roman" w:eastAsia="Times New Roman" w:hAnsi="Times New Roman"/>
            <w:sz w:val="14"/>
            <w:szCs w:val="14"/>
            <w:u w:val="single" w:color="auto"/>
            <w:color w:val="0000EE"/>
          </w:rPr>
          <w:t>Amendment No. 3 to the Investor Rights Agreement, dated March 24, 2024, between Lucid Group,</w:t>
        </w:r>
      </w:hyperlink>
      <w:r>
        <w:rPr>
          <w:rFonts w:ascii="Times New Roman" w:cs="Times New Roman" w:eastAsia="Times New Roman" w:hAnsi="Times New Roman"/>
          <w:sz w:val="14"/>
          <w:szCs w:val="14"/>
          <w:color w:val="auto"/>
        </w:rPr>
        <w:t xml:space="preserve">​ </w:t>
      </w:r>
      <w:hyperlink r:id="rId77">
        <w:r>
          <w:rPr>
            <w:rFonts w:ascii="Times New Roman" w:cs="Times New Roman" w:eastAsia="Times New Roman" w:hAnsi="Times New Roman"/>
            <w:sz w:val="14"/>
            <w:szCs w:val="14"/>
            <w:u w:val="single" w:color="auto"/>
            <w:color w:val="0000EE"/>
          </w:rPr>
          <w:t>Inc., Ayar Third Investment Company and the other parties thereto (incorporated by reference to</w:t>
        </w:r>
      </w:hyperlink>
      <w:r>
        <w:rPr>
          <w:rFonts w:ascii="Times New Roman" w:cs="Times New Roman" w:eastAsia="Times New Roman" w:hAnsi="Times New Roman"/>
          <w:sz w:val="14"/>
          <w:szCs w:val="14"/>
          <w:u w:val="single" w:color="auto"/>
          <w:color w:val="0000EE"/>
        </w:rPr>
        <w:t xml:space="preserve"> </w:t>
      </w:r>
      <w:hyperlink r:id="rId77">
        <w:r>
          <w:rPr>
            <w:rFonts w:ascii="Times New Roman" w:cs="Times New Roman" w:eastAsia="Times New Roman" w:hAnsi="Times New Roman"/>
            <w:sz w:val="14"/>
            <w:szCs w:val="14"/>
            <w:u w:val="single" w:color="auto"/>
            <w:color w:val="0000EE"/>
          </w:rPr>
          <w:t>Exhibit 10.1 to the Company’s Current Report on Form 8-K filed March 29, 2024).</w:t>
        </w:r>
      </w:hyperlink>
    </w:p>
    <w:p>
      <w:pPr>
        <w:spacing w:after="0" w:line="1" w:lineRule="exact"/>
        <w:rPr>
          <w:rFonts w:ascii="Times New Roman" w:cs="Times New Roman" w:eastAsia="Times New Roman" w:hAnsi="Times New Roman"/>
          <w:sz w:val="14"/>
          <w:szCs w:val="14"/>
          <w:color w:val="auto"/>
        </w:rPr>
      </w:pPr>
    </w:p>
    <w:p>
      <w:pPr>
        <w:sectPr>
          <w:pgSz w:w="11900" w:h="16838" w:orient="portrait"/>
          <w:cols w:equalWidth="0" w:num="2">
            <w:col w:w="1560" w:space="60"/>
            <w:col w:w="7399"/>
          </w:cols>
          <w:pgMar w:left="1440" w:top="105" w:right="1440" w:bottom="1440" w:gutter="0" w:footer="0" w:header="0"/>
          <w:type w:val="continuous"/>
        </w:sectPr>
      </w:pPr>
    </w:p>
    <w:tbl>
      <w:tblPr>
        <w:tblLayout w:type="fixed"/>
        <w:tblInd w:w="1220" w:type="dxa"/>
        <w:tblCellMar>
          <w:top w:w="0" w:type="dxa"/>
          <w:left w:w="0" w:type="dxa"/>
          <w:bottom w:w="0" w:type="dxa"/>
          <w:right w:w="0" w:type="dxa"/>
        </w:tblCellMar>
      </w:tblPr>
      <w:tr>
        <w:trPr>
          <w:trHeight w:val="173"/>
        </w:trPr>
        <w:tc>
          <w:tcPr>
            <w:tcW w:w="6400" w:type="dxa"/>
            <w:vAlign w:val="bottom"/>
            <w:gridSpan w:val="4"/>
          </w:tcPr>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 4.6  ​ ​ </w:t>
            </w:r>
            <w:hyperlink r:id="rId78">
              <w:r>
                <w:rPr>
                  <w:rFonts w:ascii="Times New Roman" w:cs="Times New Roman" w:eastAsia="Times New Roman" w:hAnsi="Times New Roman"/>
                  <w:sz w:val="14"/>
                  <w:szCs w:val="14"/>
                  <w:color w:val="0000EE"/>
                </w:rPr>
                <w:t>Amendment No. 4 to the Investor Rights Agreement, dated August 16, 2024, between Lucid</w:t>
              </w:r>
            </w:hyperlink>
          </w:p>
        </w:tc>
        <w:tc>
          <w:tcPr>
            <w:tcW w:w="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t>
            </w:r>
          </w:p>
        </w:tc>
      </w:tr>
      <w:tr>
        <w:trPr>
          <w:trHeight w:val="153"/>
        </w:trPr>
        <w:tc>
          <w:tcPr>
            <w:tcW w:w="560" w:type="dxa"/>
            <w:vAlign w:val="bottom"/>
          </w:tcPr>
          <w:p>
            <w:pPr>
              <w:spacing w:after="0"/>
              <w:rPr>
                <w:sz w:val="13"/>
                <w:szCs w:val="13"/>
                <w:color w:val="auto"/>
              </w:rPr>
            </w:pPr>
          </w:p>
        </w:tc>
        <w:tc>
          <w:tcPr>
            <w:tcW w:w="5580" w:type="dxa"/>
            <w:vAlign w:val="bottom"/>
            <w:tcBorders>
              <w:top w:val="single" w:sz="8" w:color="0000EE"/>
            </w:tcBorders>
            <w:gridSpan w:val="2"/>
          </w:tcPr>
          <w:p>
            <w:pPr>
              <w:spacing w:after="0" w:line="153" w:lineRule="exact"/>
              <w:rPr>
                <w:rFonts w:ascii="Times New Roman" w:cs="Times New Roman" w:eastAsia="Times New Roman" w:hAnsi="Times New Roman"/>
                <w:sz w:val="14"/>
                <w:szCs w:val="14"/>
                <w:color w:val="0000EE"/>
              </w:rPr>
            </w:pPr>
            <w:hyperlink r:id="rId78">
              <w:r>
                <w:rPr>
                  <w:rFonts w:ascii="Times New Roman" w:cs="Times New Roman" w:eastAsia="Times New Roman" w:hAnsi="Times New Roman"/>
                  <w:sz w:val="14"/>
                  <w:szCs w:val="14"/>
                  <w:color w:val="0000EE"/>
                </w:rPr>
                <w:t>Group, Inc., Ayar Third Investment Company and the other parties thereto (incorporated by</w:t>
              </w:r>
            </w:hyperlink>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20"/>
        </w:trPr>
        <w:tc>
          <w:tcPr>
            <w:tcW w:w="560" w:type="dxa"/>
            <w:vAlign w:val="bottom"/>
          </w:tcPr>
          <w:p>
            <w:pPr>
              <w:spacing w:after="0" w:line="20" w:lineRule="exact"/>
              <w:rPr>
                <w:sz w:val="1"/>
                <w:szCs w:val="1"/>
                <w:color w:val="auto"/>
              </w:rPr>
            </w:pPr>
          </w:p>
        </w:tc>
        <w:tc>
          <w:tcPr>
            <w:tcW w:w="554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53"/>
        </w:trPr>
        <w:tc>
          <w:tcPr>
            <w:tcW w:w="560" w:type="dxa"/>
            <w:vAlign w:val="bottom"/>
          </w:tcPr>
          <w:p>
            <w:pPr>
              <w:spacing w:after="0"/>
              <w:rPr>
                <w:sz w:val="13"/>
                <w:szCs w:val="13"/>
                <w:color w:val="auto"/>
              </w:rPr>
            </w:pPr>
          </w:p>
        </w:tc>
        <w:tc>
          <w:tcPr>
            <w:tcW w:w="5840" w:type="dxa"/>
            <w:vAlign w:val="bottom"/>
            <w:tcBorders>
              <w:bottom w:val="single" w:sz="8" w:color="0000EE"/>
            </w:tcBorders>
            <w:gridSpan w:val="3"/>
          </w:tcPr>
          <w:p>
            <w:pPr>
              <w:spacing w:after="0" w:line="153" w:lineRule="exact"/>
              <w:rPr>
                <w:rFonts w:ascii="Times New Roman" w:cs="Times New Roman" w:eastAsia="Times New Roman" w:hAnsi="Times New Roman"/>
                <w:sz w:val="14"/>
                <w:szCs w:val="14"/>
                <w:color w:val="0000EE"/>
              </w:rPr>
            </w:pPr>
            <w:hyperlink r:id="rId78">
              <w:r>
                <w:rPr>
                  <w:rFonts w:ascii="Times New Roman" w:cs="Times New Roman" w:eastAsia="Times New Roman" w:hAnsi="Times New Roman"/>
                  <w:sz w:val="14"/>
                  <w:szCs w:val="14"/>
                  <w:color w:val="0000EE"/>
                </w:rPr>
                <w:t>reference to Exhibit 10.1 to the Company’s Current Report on Form 8-K filed August 19, 2024).</w:t>
              </w:r>
            </w:hyperlink>
          </w:p>
        </w:tc>
        <w:tc>
          <w:tcPr>
            <w:tcW w:w="220" w:type="dxa"/>
            <w:vAlign w:val="bottom"/>
          </w:tcPr>
          <w:p>
            <w:pPr>
              <w:spacing w:after="0"/>
              <w:rPr>
                <w:sz w:val="13"/>
                <w:szCs w:val="13"/>
                <w:color w:val="auto"/>
              </w:rPr>
            </w:pPr>
          </w:p>
        </w:tc>
      </w:tr>
    </w:tbl>
    <w:p>
      <w:pPr>
        <w:spacing w:after="0" w:line="29" w:lineRule="exact"/>
        <w:rPr>
          <w:sz w:val="20"/>
          <w:szCs w:val="20"/>
          <w:color w:val="auto"/>
        </w:rPr>
      </w:pPr>
    </w:p>
    <w:p>
      <w:pPr>
        <w:sectPr>
          <w:pgSz w:w="11900" w:h="16838" w:orient="portrait"/>
          <w:cols w:equalWidth="0" w:num="1">
            <w:col w:w="9019"/>
          </w:cols>
          <w:pgMar w:left="1440" w:top="105" w:right="1440" w:bottom="1440" w:gutter="0" w:footer="0" w:header="0"/>
          <w:type w:val="continuous"/>
        </w:sectPr>
      </w:pPr>
    </w:p>
    <w:tbl>
      <w:tblPr>
        <w:tblLayout w:type="fixed"/>
        <w:tblInd w:w="1220" w:type="dxa"/>
        <w:tblCellMar>
          <w:top w:w="0" w:type="dxa"/>
          <w:left w:w="0" w:type="dxa"/>
          <w:bottom w:w="0" w:type="dxa"/>
          <w:right w:w="0" w:type="dxa"/>
        </w:tblCellMar>
      </w:tblPr>
      <w:tr>
        <w:trPr>
          <w:trHeight w:val="177"/>
        </w:trPr>
        <w:tc>
          <w:tcPr>
            <w:tcW w:w="320" w:type="dxa"/>
            <w:vAlign w:val="bottom"/>
          </w:tcPr>
          <w:p>
            <w:pPr>
              <w:spacing w:after="0"/>
              <w:rPr>
                <w:sz w:val="20"/>
                <w:szCs w:val="20"/>
                <w:color w:val="auto"/>
              </w:rPr>
            </w:pPr>
            <w:r>
              <w:rPr>
                <w:rFonts w:ascii="Times New Roman" w:cs="Times New Roman" w:eastAsia="Times New Roman" w:hAnsi="Times New Roman"/>
                <w:sz w:val="14"/>
                <w:szCs w:val="14"/>
                <w:color w:val="auto"/>
              </w:rPr>
              <w:t>​ 4.7</w:t>
            </w:r>
          </w:p>
        </w:tc>
        <w:tc>
          <w:tcPr>
            <w:tcW w:w="6120" w:type="dxa"/>
            <w:vAlign w:val="bottom"/>
            <w:gridSpan w:val="12"/>
          </w:tcPr>
          <w:p>
            <w:pPr>
              <w:ind w:left="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 ​ </w:t>
            </w:r>
            <w:hyperlink r:id="rId79">
              <w:r>
                <w:rPr>
                  <w:rFonts w:ascii="Times New Roman" w:cs="Times New Roman" w:eastAsia="Times New Roman" w:hAnsi="Times New Roman"/>
                  <w:sz w:val="14"/>
                  <w:szCs w:val="14"/>
                  <w:color w:val="0000EE"/>
                </w:rPr>
                <w:t>Amendment No. 5 to the Investor Rights Agreement, dated October 16, 2024, between Lucid</w:t>
              </w:r>
            </w:hyperlink>
          </w:p>
        </w:tc>
        <w:tc>
          <w:tcPr>
            <w:tcW w:w="0" w:type="dxa"/>
            <w:vAlign w:val="bottom"/>
          </w:tcPr>
          <w:p>
            <w:pPr>
              <w:spacing w:after="0"/>
              <w:rPr>
                <w:sz w:val="1"/>
                <w:szCs w:val="1"/>
                <w:color w:val="auto"/>
              </w:rPr>
            </w:pPr>
          </w:p>
        </w:tc>
      </w:tr>
      <w:tr>
        <w:trPr>
          <w:trHeight w:val="153"/>
        </w:trPr>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40" w:type="dxa"/>
            <w:vAlign w:val="bottom"/>
            <w:tcBorders>
              <w:top w:val="single" w:sz="8" w:color="0000EE"/>
            </w:tcBorders>
            <w:gridSpan w:val="9"/>
          </w:tcPr>
          <w:p>
            <w:pPr>
              <w:spacing w:after="0" w:line="153" w:lineRule="exact"/>
              <w:rPr>
                <w:rFonts w:ascii="Times New Roman" w:cs="Times New Roman" w:eastAsia="Times New Roman" w:hAnsi="Times New Roman"/>
                <w:sz w:val="14"/>
                <w:szCs w:val="14"/>
                <w:color w:val="0000EE"/>
              </w:rPr>
            </w:pPr>
            <w:hyperlink r:id="rId79">
              <w:r>
                <w:rPr>
                  <w:rFonts w:ascii="Times New Roman" w:cs="Times New Roman" w:eastAsia="Times New Roman" w:hAnsi="Times New Roman"/>
                  <w:sz w:val="14"/>
                  <w:szCs w:val="14"/>
                  <w:color w:val="0000EE"/>
                </w:rPr>
                <w:t>Group, Inc., Ayar Third Investment Company and the other parties thereto (incorporated by</w:t>
              </w:r>
            </w:hyperlink>
          </w:p>
        </w:tc>
        <w:tc>
          <w:tcPr>
            <w:tcW w:w="2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80" w:type="dxa"/>
            <w:vAlign w:val="bottom"/>
            <w:tcBorders>
              <w:bottom w:val="single" w:sz="8" w:color="0000EE"/>
            </w:tcBorders>
            <w:gridSpan w:val="11"/>
          </w:tcPr>
          <w:p>
            <w:pPr>
              <w:spacing w:after="0" w:line="153" w:lineRule="exact"/>
              <w:rPr>
                <w:rFonts w:ascii="Times New Roman" w:cs="Times New Roman" w:eastAsia="Times New Roman" w:hAnsi="Times New Roman"/>
                <w:sz w:val="14"/>
                <w:szCs w:val="14"/>
                <w:color w:val="0000EE"/>
              </w:rPr>
            </w:pPr>
            <w:hyperlink r:id="rId79">
              <w:r>
                <w:rPr>
                  <w:rFonts w:ascii="Times New Roman" w:cs="Times New Roman" w:eastAsia="Times New Roman" w:hAnsi="Times New Roman"/>
                  <w:sz w:val="14"/>
                  <w:szCs w:val="14"/>
                  <w:color w:val="0000EE"/>
                </w:rPr>
                <w:t>reference to Exhibit 10.2 to the Company’s Current Report on Form 8-K filed October 18, 2024).</w:t>
              </w:r>
            </w:hyperlink>
          </w:p>
        </w:tc>
        <w:tc>
          <w:tcPr>
            <w:tcW w:w="0" w:type="dxa"/>
            <w:vAlign w:val="bottom"/>
          </w:tcPr>
          <w:p>
            <w:pPr>
              <w:spacing w:after="0"/>
              <w:rPr>
                <w:sz w:val="1"/>
                <w:szCs w:val="1"/>
                <w:color w:val="auto"/>
              </w:rPr>
            </w:pPr>
          </w:p>
        </w:tc>
      </w:tr>
      <w:tr>
        <w:trPr>
          <w:trHeight w:val="197"/>
        </w:trPr>
        <w:tc>
          <w:tcPr>
            <w:tcW w:w="320" w:type="dxa"/>
            <w:vAlign w:val="bottom"/>
          </w:tcPr>
          <w:p>
            <w:pPr>
              <w:spacing w:after="0"/>
              <w:rPr>
                <w:sz w:val="20"/>
                <w:szCs w:val="20"/>
                <w:color w:val="auto"/>
              </w:rPr>
            </w:pPr>
            <w:r>
              <w:rPr>
                <w:rFonts w:ascii="Times New Roman" w:cs="Times New Roman" w:eastAsia="Times New Roman" w:hAnsi="Times New Roman"/>
                <w:sz w:val="14"/>
                <w:szCs w:val="14"/>
                <w:color w:val="auto"/>
              </w:rPr>
              <w:t>​ 4.8</w:t>
            </w:r>
          </w:p>
        </w:tc>
        <w:tc>
          <w:tcPr>
            <w:tcW w:w="6120" w:type="dxa"/>
            <w:vAlign w:val="bottom"/>
            <w:gridSpan w:val="12"/>
          </w:tcPr>
          <w:p>
            <w:pPr>
              <w:ind w:left="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 ​ </w:t>
            </w:r>
            <w:hyperlink r:id="rId80">
              <w:r>
                <w:rPr>
                  <w:rFonts w:ascii="Times New Roman" w:cs="Times New Roman" w:eastAsia="Times New Roman" w:hAnsi="Times New Roman"/>
                  <w:sz w:val="14"/>
                  <w:szCs w:val="14"/>
                  <w:color w:val="0000EE"/>
                </w:rPr>
                <w:t>Amendment No. 6 to the Investor Rights Agreement, dated November 11, 2025, between Lucid</w:t>
              </w:r>
            </w:hyperlink>
          </w:p>
        </w:tc>
        <w:tc>
          <w:tcPr>
            <w:tcW w:w="0" w:type="dxa"/>
            <w:vAlign w:val="bottom"/>
          </w:tcPr>
          <w:p>
            <w:pPr>
              <w:spacing w:after="0"/>
              <w:rPr>
                <w:sz w:val="1"/>
                <w:szCs w:val="1"/>
                <w:color w:val="auto"/>
              </w:rPr>
            </w:pPr>
          </w:p>
        </w:tc>
      </w:tr>
      <w:tr>
        <w:trPr>
          <w:trHeight w:val="153"/>
        </w:trPr>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780" w:type="dxa"/>
            <w:vAlign w:val="bottom"/>
            <w:tcBorders>
              <w:top w:val="single" w:sz="8" w:color="0000EE"/>
            </w:tcBorders>
            <w:gridSpan w:val="10"/>
          </w:tcPr>
          <w:p>
            <w:pPr>
              <w:spacing w:after="0" w:line="153" w:lineRule="exact"/>
              <w:rPr>
                <w:rFonts w:ascii="Times New Roman" w:cs="Times New Roman" w:eastAsia="Times New Roman" w:hAnsi="Times New Roman"/>
                <w:sz w:val="14"/>
                <w:szCs w:val="14"/>
                <w:color w:val="0000EE"/>
              </w:rPr>
            </w:pPr>
            <w:hyperlink r:id="rId80">
              <w:r>
                <w:rPr>
                  <w:rFonts w:ascii="Times New Roman" w:cs="Times New Roman" w:eastAsia="Times New Roman" w:hAnsi="Times New Roman"/>
                  <w:sz w:val="14"/>
                  <w:szCs w:val="14"/>
                  <w:color w:val="0000EE"/>
                </w:rPr>
                <w:t>Group, Inc., Ayar Third Investment Company and the other parties thereto (incorporated by</w:t>
              </w:r>
            </w:hyperlink>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80" w:type="dxa"/>
            <w:vAlign w:val="bottom"/>
            <w:gridSpan w:val="11"/>
          </w:tcPr>
          <w:p>
            <w:pPr>
              <w:spacing w:after="0" w:line="153" w:lineRule="exact"/>
              <w:rPr>
                <w:rFonts w:ascii="Times New Roman" w:cs="Times New Roman" w:eastAsia="Times New Roman" w:hAnsi="Times New Roman"/>
                <w:sz w:val="14"/>
                <w:szCs w:val="14"/>
                <w:color w:val="0000EE"/>
              </w:rPr>
            </w:pPr>
            <w:hyperlink r:id="rId80">
              <w:r>
                <w:rPr>
                  <w:rFonts w:ascii="Times New Roman" w:cs="Times New Roman" w:eastAsia="Times New Roman" w:hAnsi="Times New Roman"/>
                  <w:sz w:val="14"/>
                  <w:szCs w:val="14"/>
                  <w:color w:val="0000EE"/>
                </w:rPr>
                <w:t>reference to Exhibit 10.1 to the Company’s Current Report on Form 8-K filed November 17,</w:t>
              </w:r>
            </w:hyperlink>
          </w:p>
        </w:tc>
        <w:tc>
          <w:tcPr>
            <w:tcW w:w="0" w:type="dxa"/>
            <w:vAlign w:val="bottom"/>
          </w:tcPr>
          <w:p>
            <w:pPr>
              <w:spacing w:after="0"/>
              <w:rPr>
                <w:sz w:val="1"/>
                <w:szCs w:val="1"/>
                <w:color w:val="auto"/>
              </w:rPr>
            </w:pPr>
          </w:p>
        </w:tc>
      </w:tr>
      <w:tr>
        <w:trPr>
          <w:trHeight w:val="153"/>
        </w:trPr>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Borders>
              <w:top w:val="single" w:sz="8" w:color="0000EE"/>
              <w:bottom w:val="single" w:sz="8" w:color="0000EE"/>
            </w:tcBorders>
          </w:tcPr>
          <w:p>
            <w:pPr>
              <w:spacing w:after="0" w:line="153" w:lineRule="exact"/>
              <w:rPr>
                <w:rFonts w:ascii="Times New Roman" w:cs="Times New Roman" w:eastAsia="Times New Roman" w:hAnsi="Times New Roman"/>
                <w:sz w:val="14"/>
                <w:szCs w:val="14"/>
                <w:color w:val="0000EE"/>
              </w:rPr>
            </w:pPr>
            <w:hyperlink r:id="rId80">
              <w:r>
                <w:rPr>
                  <w:rFonts w:ascii="Times New Roman" w:cs="Times New Roman" w:eastAsia="Times New Roman" w:hAnsi="Times New Roman"/>
                  <w:sz w:val="14"/>
                  <w:szCs w:val="14"/>
                  <w:color w:val="0000EE"/>
                </w:rPr>
                <w:t>2025).</w:t>
              </w:r>
            </w:hyperlink>
          </w:p>
        </w:tc>
        <w:tc>
          <w:tcPr>
            <w:tcW w:w="600" w:type="dxa"/>
            <w:vAlign w:val="bottom"/>
            <w:tcBorders>
              <w:top w:val="single" w:sz="8" w:color="0000EE"/>
            </w:tcBorders>
          </w:tcPr>
          <w:p>
            <w:pPr>
              <w:spacing w:after="0"/>
              <w:rPr>
                <w:sz w:val="13"/>
                <w:szCs w:val="13"/>
                <w:color w:val="auto"/>
              </w:rPr>
            </w:pPr>
          </w:p>
        </w:tc>
        <w:tc>
          <w:tcPr>
            <w:tcW w:w="242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980" w:type="dxa"/>
            <w:vAlign w:val="bottom"/>
            <w:tcBorders>
              <w:top w:val="single" w:sz="8" w:color="0000EE"/>
            </w:tcBorders>
          </w:tcPr>
          <w:p>
            <w:pPr>
              <w:spacing w:after="0"/>
              <w:rPr>
                <w:sz w:val="13"/>
                <w:szCs w:val="13"/>
                <w:color w:val="auto"/>
              </w:rPr>
            </w:pPr>
          </w:p>
        </w:tc>
        <w:tc>
          <w:tcPr>
            <w:tcW w:w="500" w:type="dxa"/>
            <w:vAlign w:val="bottom"/>
            <w:tcBorders>
              <w:top w:val="single" w:sz="8" w:color="0000EE"/>
            </w:tcBorders>
          </w:tcPr>
          <w:p>
            <w:pPr>
              <w:spacing w:after="0"/>
              <w:rPr>
                <w:sz w:val="13"/>
                <w:szCs w:val="13"/>
                <w:color w:val="auto"/>
              </w:rPr>
            </w:pPr>
          </w:p>
        </w:tc>
        <w:tc>
          <w:tcPr>
            <w:tcW w:w="58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320" w:type="dxa"/>
            <w:vAlign w:val="bottom"/>
          </w:tcPr>
          <w:p>
            <w:pPr>
              <w:spacing w:after="0" w:line="207"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3"/>
                <w:szCs w:val="13"/>
                <w:color w:val="auto"/>
              </w:rPr>
              <w:t xml:space="preserve"> 5.1</w:t>
            </w:r>
          </w:p>
        </w:tc>
        <w:tc>
          <w:tcPr>
            <w:tcW w:w="6120" w:type="dxa"/>
            <w:vAlign w:val="bottom"/>
            <w:gridSpan w:val="12"/>
          </w:tcPr>
          <w:p>
            <w:pPr>
              <w:ind w:left="80"/>
              <w:spacing w:after="0" w:line="207" w:lineRule="exact"/>
              <w:rPr>
                <w:sz w:val="20"/>
                <w:szCs w:val="20"/>
                <w:color w:val="auto"/>
              </w:rPr>
            </w:pPr>
            <w:r>
              <w:rPr>
                <w:rFonts w:ascii="Times New Roman" w:cs="Times New Roman" w:eastAsia="Times New Roman" w:hAnsi="Times New Roman"/>
                <w:sz w:val="24"/>
                <w:szCs w:val="24"/>
                <w:color w:val="000000"/>
                <w:vertAlign w:val="superscript"/>
              </w:rPr>
              <w:t>​ ​</w:t>
            </w:r>
            <w:r>
              <w:rPr>
                <w:rFonts w:ascii="Times New Roman" w:cs="Times New Roman" w:eastAsia="Times New Roman" w:hAnsi="Times New Roman"/>
                <w:sz w:val="13"/>
                <w:szCs w:val="13"/>
                <w:color w:val="0000EE"/>
              </w:rPr>
              <w:t xml:space="preserve"> Opinion of Skadden, Arps, Slate, Meagher &amp; Flom LLP.</w:t>
            </w:r>
          </w:p>
        </w:tc>
        <w:tc>
          <w:tcPr>
            <w:tcW w:w="0" w:type="dxa"/>
            <w:vAlign w:val="bottom"/>
          </w:tcPr>
          <w:p>
            <w:pPr>
              <w:spacing w:after="0"/>
              <w:rPr>
                <w:sz w:val="1"/>
                <w:szCs w:val="1"/>
                <w:color w:val="auto"/>
              </w:rPr>
            </w:pPr>
          </w:p>
        </w:tc>
      </w:tr>
      <w:tr>
        <w:trPr>
          <w:trHeight w:val="20"/>
        </w:trPr>
        <w:tc>
          <w:tcPr>
            <w:tcW w:w="3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0" w:type="dxa"/>
            <w:vAlign w:val="bottom"/>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5880" w:type="dxa"/>
            <w:vAlign w:val="bottom"/>
            <w:gridSpan w:val="11"/>
            <w:vMerge w:val="restart"/>
          </w:tcPr>
          <w:p>
            <w:pPr>
              <w:spacing w:after="0"/>
              <w:rPr>
                <w:sz w:val="20"/>
                <w:szCs w:val="20"/>
                <w:color w:val="auto"/>
              </w:rPr>
            </w:pPr>
            <w:r>
              <w:rPr>
                <w:rFonts w:ascii="Times New Roman" w:cs="Times New Roman" w:eastAsia="Times New Roman" w:hAnsi="Times New Roman"/>
                <w:sz w:val="14"/>
                <w:szCs w:val="14"/>
                <w:color w:val="0000EE"/>
              </w:rPr>
              <w:t>Consent of KPMG LLP, Independent Registered Public Accounting Firm.</w:t>
            </w:r>
          </w:p>
        </w:tc>
        <w:tc>
          <w:tcPr>
            <w:tcW w:w="0" w:type="dxa"/>
            <w:vAlign w:val="bottom"/>
          </w:tcPr>
          <w:p>
            <w:pPr>
              <w:spacing w:after="0"/>
              <w:rPr>
                <w:sz w:val="1"/>
                <w:szCs w:val="1"/>
                <w:color w:val="auto"/>
              </w:rPr>
            </w:pPr>
          </w:p>
        </w:tc>
      </w:tr>
      <w:tr>
        <w:trPr>
          <w:trHeight w:val="54"/>
        </w:trPr>
        <w:tc>
          <w:tcPr>
            <w:tcW w:w="320" w:type="dxa"/>
            <w:vAlign w:val="bottom"/>
          </w:tcPr>
          <w:p>
            <w:pPr>
              <w:spacing w:after="0" w:line="55" w:lineRule="exact"/>
              <w:rPr>
                <w:sz w:val="20"/>
                <w:szCs w:val="20"/>
                <w:color w:val="auto"/>
              </w:rPr>
            </w:pPr>
            <w:r>
              <w:rPr>
                <w:rFonts w:ascii="Times New Roman" w:cs="Times New Roman" w:eastAsia="Times New Roman" w:hAnsi="Times New Roman"/>
                <w:sz w:val="6"/>
                <w:szCs w:val="6"/>
                <w:color w:val="auto"/>
              </w:rPr>
              <w:t>23.1</w:t>
            </w:r>
          </w:p>
        </w:tc>
        <w:tc>
          <w:tcPr>
            <w:tcW w:w="240" w:type="dxa"/>
            <w:vAlign w:val="bottom"/>
          </w:tcPr>
          <w:p>
            <w:pPr>
              <w:spacing w:after="0"/>
              <w:rPr>
                <w:sz w:val="4"/>
                <w:szCs w:val="4"/>
                <w:color w:val="auto"/>
              </w:rPr>
            </w:pPr>
          </w:p>
        </w:tc>
        <w:tc>
          <w:tcPr>
            <w:tcW w:w="5880" w:type="dxa"/>
            <w:vAlign w:val="bottom"/>
            <w:gridSpan w:val="11"/>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0" w:type="dxa"/>
            <w:vAlign w:val="bottom"/>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5880" w:type="dxa"/>
            <w:vAlign w:val="bottom"/>
            <w:gridSpan w:val="11"/>
            <w:vMerge w:val="restart"/>
          </w:tcPr>
          <w:p>
            <w:pPr>
              <w:spacing w:after="0"/>
              <w:rPr>
                <w:sz w:val="20"/>
                <w:szCs w:val="20"/>
                <w:color w:val="auto"/>
              </w:rPr>
            </w:pPr>
            <w:r>
              <w:rPr>
                <w:rFonts w:ascii="Times New Roman" w:cs="Times New Roman" w:eastAsia="Times New Roman" w:hAnsi="Times New Roman"/>
                <w:sz w:val="14"/>
                <w:szCs w:val="14"/>
                <w:color w:val="0000EE"/>
              </w:rPr>
              <w:t>Consent of Skadden, Arps, Slate, Meagher &amp; Flom LLP (included in Exhibit 5.1).</w:t>
            </w:r>
          </w:p>
        </w:tc>
        <w:tc>
          <w:tcPr>
            <w:tcW w:w="0" w:type="dxa"/>
            <w:vAlign w:val="bottom"/>
          </w:tcPr>
          <w:p>
            <w:pPr>
              <w:spacing w:after="0"/>
              <w:rPr>
                <w:sz w:val="1"/>
                <w:szCs w:val="1"/>
                <w:color w:val="auto"/>
              </w:rPr>
            </w:pPr>
          </w:p>
        </w:tc>
      </w:tr>
      <w:tr>
        <w:trPr>
          <w:trHeight w:val="54"/>
        </w:trPr>
        <w:tc>
          <w:tcPr>
            <w:tcW w:w="320" w:type="dxa"/>
            <w:vAlign w:val="bottom"/>
          </w:tcPr>
          <w:p>
            <w:pPr>
              <w:spacing w:after="0" w:line="55" w:lineRule="exact"/>
              <w:rPr>
                <w:sz w:val="20"/>
                <w:szCs w:val="20"/>
                <w:color w:val="auto"/>
              </w:rPr>
            </w:pPr>
            <w:r>
              <w:rPr>
                <w:rFonts w:ascii="Times New Roman" w:cs="Times New Roman" w:eastAsia="Times New Roman" w:hAnsi="Times New Roman"/>
                <w:sz w:val="6"/>
                <w:szCs w:val="6"/>
                <w:color w:val="auto"/>
              </w:rPr>
              <w:t>23.2</w:t>
            </w:r>
          </w:p>
        </w:tc>
        <w:tc>
          <w:tcPr>
            <w:tcW w:w="240" w:type="dxa"/>
            <w:vAlign w:val="bottom"/>
          </w:tcPr>
          <w:p>
            <w:pPr>
              <w:spacing w:after="0"/>
              <w:rPr>
                <w:sz w:val="4"/>
                <w:szCs w:val="4"/>
                <w:color w:val="auto"/>
              </w:rPr>
            </w:pPr>
          </w:p>
        </w:tc>
        <w:tc>
          <w:tcPr>
            <w:tcW w:w="5880" w:type="dxa"/>
            <w:vAlign w:val="bottom"/>
            <w:gridSpan w:val="11"/>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32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ind w:left="80"/>
              <w:spacing w:after="0" w:line="143" w:lineRule="exact"/>
              <w:rPr>
                <w:sz w:val="20"/>
                <w:szCs w:val="20"/>
                <w:color w:val="auto"/>
              </w:rPr>
            </w:pPr>
            <w:r>
              <w:rPr>
                <w:rFonts w:ascii="Times New Roman" w:cs="Times New Roman" w:eastAsia="Times New Roman" w:hAnsi="Times New Roman"/>
                <w:sz w:val="14"/>
                <w:szCs w:val="14"/>
                <w:color w:val="auto"/>
              </w:rPr>
              <w:t>​ ​</w:t>
            </w:r>
          </w:p>
        </w:tc>
        <w:tc>
          <w:tcPr>
            <w:tcW w:w="3480" w:type="dxa"/>
            <w:vAlign w:val="bottom"/>
            <w:tcBorders>
              <w:top w:val="single" w:sz="8" w:color="0000EE"/>
            </w:tcBorders>
            <w:gridSpan w:val="4"/>
            <w:vMerge w:val="restart"/>
          </w:tcPr>
          <w:p>
            <w:pPr>
              <w:spacing w:after="0"/>
              <w:rPr>
                <w:sz w:val="20"/>
                <w:szCs w:val="20"/>
                <w:color w:val="auto"/>
              </w:rPr>
            </w:pPr>
            <w:r>
              <w:rPr>
                <w:rFonts w:ascii="Times New Roman" w:cs="Times New Roman" w:eastAsia="Times New Roman" w:hAnsi="Times New Roman"/>
                <w:sz w:val="14"/>
                <w:szCs w:val="14"/>
                <w:color w:val="0000EE"/>
              </w:rPr>
              <w:t>Powers of Attorney (included on signature pages hereto).</w:t>
            </w:r>
          </w:p>
        </w:tc>
        <w:tc>
          <w:tcPr>
            <w:tcW w:w="1480" w:type="dxa"/>
            <w:vAlign w:val="bottom"/>
            <w:tcBorders>
              <w:top w:val="single" w:sz="8" w:color="0000EE"/>
            </w:tcBorders>
            <w:gridSpan w:val="2"/>
            <w:vMerge w:val="restart"/>
          </w:tcPr>
          <w:p>
            <w:pPr>
              <w:spacing w:after="0"/>
              <w:rPr>
                <w:sz w:val="12"/>
                <w:szCs w:val="12"/>
                <w:color w:val="auto"/>
              </w:rPr>
            </w:pPr>
          </w:p>
        </w:tc>
        <w:tc>
          <w:tcPr>
            <w:tcW w:w="920" w:type="dxa"/>
            <w:vAlign w:val="bottom"/>
            <w:gridSpan w:val="5"/>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59"/>
        </w:trPr>
        <w:tc>
          <w:tcPr>
            <w:tcW w:w="320" w:type="dxa"/>
            <w:vAlign w:val="bottom"/>
          </w:tcPr>
          <w:p>
            <w:pPr>
              <w:spacing w:after="0" w:line="55" w:lineRule="exact"/>
              <w:rPr>
                <w:sz w:val="20"/>
                <w:szCs w:val="20"/>
                <w:color w:val="auto"/>
              </w:rPr>
            </w:pPr>
            <w:r>
              <w:rPr>
                <w:rFonts w:ascii="Times New Roman" w:cs="Times New Roman" w:eastAsia="Times New Roman" w:hAnsi="Times New Roman"/>
                <w:sz w:val="6"/>
                <w:szCs w:val="6"/>
                <w:color w:val="auto"/>
              </w:rPr>
              <w:t>24.1</w:t>
            </w:r>
          </w:p>
        </w:tc>
        <w:tc>
          <w:tcPr>
            <w:tcW w:w="240" w:type="dxa"/>
            <w:vAlign w:val="bottom"/>
          </w:tcPr>
          <w:p>
            <w:pPr>
              <w:spacing w:after="0"/>
              <w:rPr>
                <w:sz w:val="4"/>
                <w:szCs w:val="4"/>
                <w:color w:val="auto"/>
              </w:rPr>
            </w:pPr>
          </w:p>
        </w:tc>
        <w:tc>
          <w:tcPr>
            <w:tcW w:w="3480" w:type="dxa"/>
            <w:vAlign w:val="bottom"/>
            <w:tcBorders>
              <w:bottom w:val="single" w:sz="8" w:color="0000EE"/>
            </w:tcBorders>
            <w:gridSpan w:val="4"/>
            <w:vMerge w:val="continue"/>
          </w:tcPr>
          <w:p>
            <w:pPr>
              <w:spacing w:after="0"/>
              <w:rPr>
                <w:sz w:val="4"/>
                <w:szCs w:val="4"/>
                <w:color w:val="auto"/>
              </w:rPr>
            </w:pPr>
          </w:p>
        </w:tc>
        <w:tc>
          <w:tcPr>
            <w:tcW w:w="1480" w:type="dxa"/>
            <w:vAlign w:val="bottom"/>
            <w:gridSpan w:val="2"/>
            <w:vMerge w:val="continue"/>
          </w:tcPr>
          <w:p>
            <w:pPr>
              <w:spacing w:after="0"/>
              <w:rPr>
                <w:sz w:val="4"/>
                <w:szCs w:val="4"/>
                <w:color w:val="auto"/>
              </w:rPr>
            </w:pPr>
          </w:p>
        </w:tc>
        <w:tc>
          <w:tcPr>
            <w:tcW w:w="92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32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ind w:left="80"/>
              <w:spacing w:after="0" w:line="143" w:lineRule="exact"/>
              <w:rPr>
                <w:sz w:val="20"/>
                <w:szCs w:val="20"/>
                <w:color w:val="auto"/>
              </w:rPr>
            </w:pPr>
            <w:r>
              <w:rPr>
                <w:rFonts w:ascii="Times New Roman" w:cs="Times New Roman" w:eastAsia="Times New Roman" w:hAnsi="Times New Roman"/>
                <w:sz w:val="14"/>
                <w:szCs w:val="14"/>
                <w:color w:val="auto"/>
              </w:rPr>
              <w:t>​ ​</w:t>
            </w:r>
          </w:p>
        </w:tc>
        <w:tc>
          <w:tcPr>
            <w:tcW w:w="1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0000EE"/>
              </w:rPr>
              <w:t>Filing Fee Table</w:t>
            </w:r>
          </w:p>
        </w:tc>
        <w:tc>
          <w:tcPr>
            <w:tcW w:w="4880" w:type="dxa"/>
            <w:vAlign w:val="bottom"/>
            <w:gridSpan w:val="9"/>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59"/>
        </w:trPr>
        <w:tc>
          <w:tcPr>
            <w:tcW w:w="320" w:type="dxa"/>
            <w:vAlign w:val="bottom"/>
          </w:tcPr>
          <w:p>
            <w:pPr>
              <w:spacing w:after="0" w:line="55" w:lineRule="exact"/>
              <w:rPr>
                <w:sz w:val="20"/>
                <w:szCs w:val="20"/>
                <w:color w:val="auto"/>
              </w:rPr>
            </w:pPr>
            <w:r>
              <w:rPr>
                <w:rFonts w:ascii="Times New Roman" w:cs="Times New Roman" w:eastAsia="Times New Roman" w:hAnsi="Times New Roman"/>
                <w:sz w:val="6"/>
                <w:szCs w:val="6"/>
                <w:color w:val="auto"/>
              </w:rPr>
              <w:t>107</w:t>
            </w:r>
          </w:p>
        </w:tc>
        <w:tc>
          <w:tcPr>
            <w:tcW w:w="240" w:type="dxa"/>
            <w:vAlign w:val="bottom"/>
          </w:tcPr>
          <w:p>
            <w:pPr>
              <w:spacing w:after="0"/>
              <w:rPr>
                <w:sz w:val="4"/>
                <w:szCs w:val="4"/>
                <w:color w:val="auto"/>
              </w:rPr>
            </w:pPr>
          </w:p>
        </w:tc>
        <w:tc>
          <w:tcPr>
            <w:tcW w:w="1000" w:type="dxa"/>
            <w:vAlign w:val="bottom"/>
            <w:tcBorders>
              <w:bottom w:val="single" w:sz="8" w:color="0000EE"/>
            </w:tcBorders>
            <w:gridSpan w:val="2"/>
            <w:vMerge w:val="continue"/>
          </w:tcPr>
          <w:p>
            <w:pPr>
              <w:spacing w:after="0"/>
              <w:rPr>
                <w:sz w:val="4"/>
                <w:szCs w:val="4"/>
                <w:color w:val="auto"/>
              </w:rPr>
            </w:pPr>
          </w:p>
        </w:tc>
        <w:tc>
          <w:tcPr>
            <w:tcW w:w="4880" w:type="dxa"/>
            <w:vAlign w:val="bottom"/>
            <w:gridSpan w:val="9"/>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772795</wp:posOffset>
            </wp:positionH>
            <wp:positionV relativeFrom="paragraph">
              <wp:posOffset>144145</wp:posOffset>
            </wp:positionV>
            <wp:extent cx="990600"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1">
                      <a:extLst>
                        <a:ext uri="{28A0092B-C50C-407E-A947-70E740481C1C}"/>
                      </a:extLst>
                    </a:blip>
                    <a:srcRect/>
                    <a:stretch>
                      <a:fillRect/>
                    </a:stretch>
                  </pic:blipFill>
                  <pic:spPr bwMode="auto">
                    <a:xfrm>
                      <a:off x="0" y="0"/>
                      <a:ext cx="99060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48" w:lineRule="exact"/>
        <w:rPr>
          <w:sz w:val="20"/>
          <w:szCs w:val="20"/>
          <w:color w:val="auto"/>
        </w:rPr>
      </w:pPr>
    </w:p>
    <w:p>
      <w:pPr>
        <w:sectPr>
          <w:pgSz w:w="11900" w:h="16838" w:orient="portrait"/>
          <w:cols w:equalWidth="0" w:num="2">
            <w:col w:w="7660" w:space="140"/>
            <w:col w:w="1219"/>
          </w:cols>
          <w:pgMar w:left="1440" w:top="105" w:right="1440" w:bottom="1440" w:gutter="0" w:footer="0" w:header="0"/>
          <w:type w:val="continuous"/>
        </w:sectPr>
      </w:pPr>
    </w:p>
    <w:p>
      <w:pPr>
        <w:spacing w:after="0" w:line="154" w:lineRule="exact"/>
        <w:rPr>
          <w:sz w:val="20"/>
          <w:szCs w:val="20"/>
          <w:color w:val="auto"/>
        </w:rPr>
      </w:pPr>
    </w:p>
    <w:p>
      <w:pPr>
        <w:ind w:left="1500" w:right="1359" w:hanging="288"/>
        <w:spacing w:after="0" w:line="299" w:lineRule="auto"/>
        <w:tabs>
          <w:tab w:leader="none" w:pos="1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by amendment to the Registration Statement or incorporated by reference from documents filed or to be filed with the SEC under the Securities Exchange Act of 1934, as amended.</w:t>
      </w:r>
    </w:p>
    <w:p>
      <w:pPr>
        <w:spacing w:after="0" w:line="11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Item 17.  Undertakings.</w:t>
      </w:r>
    </w:p>
    <w:p>
      <w:pPr>
        <w:spacing w:after="0" w:line="13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The undersigned registrant hereby undertakes:</w:t>
      </w:r>
    </w:p>
    <w:p>
      <w:pPr>
        <w:spacing w:after="0" w:line="131" w:lineRule="exact"/>
        <w:rPr>
          <w:sz w:val="20"/>
          <w:szCs w:val="20"/>
          <w:color w:val="auto"/>
        </w:rPr>
      </w:pPr>
    </w:p>
    <w:p>
      <w:pPr>
        <w:ind w:left="1780" w:right="1359" w:hanging="280"/>
        <w:spacing w:after="0" w:line="299" w:lineRule="auto"/>
        <w:tabs>
          <w:tab w:leader="none" w:pos="17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75" w:lineRule="exact"/>
        <w:rPr>
          <w:rFonts w:ascii="Times New Roman" w:cs="Times New Roman" w:eastAsia="Times New Roman" w:hAnsi="Times New Roman"/>
          <w:sz w:val="14"/>
          <w:szCs w:val="14"/>
          <w:color w:val="auto"/>
        </w:rPr>
      </w:pPr>
    </w:p>
    <w:p>
      <w:pPr>
        <w:ind w:left="2080" w:hanging="291"/>
        <w:spacing w:after="0"/>
        <w:tabs>
          <w:tab w:leader="none" w:pos="208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prospectus required by Section 10(a)(3) of the Securities Act;</w:t>
      </w:r>
    </w:p>
    <w:p>
      <w:pPr>
        <w:spacing w:after="0" w:line="131" w:lineRule="exact"/>
        <w:rPr>
          <w:rFonts w:ascii="Times New Roman" w:cs="Times New Roman" w:eastAsia="Times New Roman" w:hAnsi="Times New Roman"/>
          <w:sz w:val="14"/>
          <w:szCs w:val="14"/>
          <w:color w:val="auto"/>
        </w:rPr>
      </w:pPr>
    </w:p>
    <w:p>
      <w:pPr>
        <w:ind w:left="2080" w:right="1359" w:hanging="291"/>
        <w:spacing w:after="0" w:line="263" w:lineRule="auto"/>
        <w:tabs>
          <w:tab w:leader="none" w:pos="208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203835</wp:posOffset>
            </wp:positionV>
            <wp:extent cx="5479415" cy="393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2">
                      <a:extLst>
                        <a:ext uri="{28A0092B-C50C-407E-A947-70E740481C1C}"/>
                      </a:extLst>
                    </a:blip>
                    <a:srcRect/>
                    <a:stretch>
                      <a:fillRect/>
                    </a:stretch>
                  </pic:blipFill>
                  <pic:spPr bwMode="auto">
                    <a:xfrm>
                      <a:off x="0" y="0"/>
                      <a:ext cx="5479415" cy="3937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type w:val="continuous"/>
        </w:sectPr>
      </w:pPr>
    </w:p>
    <w:bookmarkStart w:id="23" w:name="page24"/>
    <w:bookmarkEnd w:id="23"/>
    <w:p>
      <w:pPr>
        <w:ind w:left="20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80" w:right="1499" w:hanging="291"/>
        <w:spacing w:after="0" w:line="278" w:lineRule="auto"/>
        <w:tabs>
          <w:tab w:leader="none" w:pos="20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80" w:lineRule="exact"/>
        <w:rPr>
          <w:sz w:val="20"/>
          <w:szCs w:val="20"/>
          <w:color w:val="auto"/>
        </w:rPr>
      </w:pPr>
    </w:p>
    <w:p>
      <w:pPr>
        <w:jc w:val="both"/>
        <w:ind w:left="1780" w:right="1299"/>
        <w:spacing w:after="0" w:line="256" w:lineRule="auto"/>
        <w:rPr>
          <w:sz w:val="20"/>
          <w:szCs w:val="20"/>
          <w:color w:val="auto"/>
        </w:rPr>
      </w:pPr>
      <w:r>
        <w:rPr>
          <w:rFonts w:ascii="Times New Roman" w:cs="Times New Roman" w:eastAsia="Times New Roman" w:hAnsi="Times New Roman"/>
          <w:sz w:val="14"/>
          <w:szCs w:val="14"/>
          <w:color w:val="auto"/>
        </w:rPr>
        <w:t>provided, however, that paragraphs (i), (ii) and (iii) of this section do not apply if the information required to be included in a post-effective amendment by those paragraphs is contained in reports filed with or furnished to the SEC by the registrant pursuant to Section 13 or Section 15(d) of the Exchange Act that are incorporated by reference in this registration statement, or is contained in a form of prospectus filed pursuant to Rule 424(b) that is part of this registration statement;</w:t>
      </w:r>
    </w:p>
    <w:p>
      <w:pPr>
        <w:spacing w:after="0" w:line="84" w:lineRule="exact"/>
        <w:rPr>
          <w:sz w:val="20"/>
          <w:szCs w:val="20"/>
          <w:color w:val="auto"/>
        </w:rPr>
      </w:pPr>
    </w:p>
    <w:p>
      <w:pPr>
        <w:ind w:left="1780" w:right="1379" w:hanging="280"/>
        <w:spacing w:after="0" w:line="272" w:lineRule="auto"/>
        <w:tabs>
          <w:tab w:leader="none" w:pos="17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82" w:lineRule="exact"/>
        <w:rPr>
          <w:rFonts w:ascii="Times New Roman" w:cs="Times New Roman" w:eastAsia="Times New Roman" w:hAnsi="Times New Roman"/>
          <w:sz w:val="14"/>
          <w:szCs w:val="14"/>
          <w:color w:val="auto"/>
        </w:rPr>
      </w:pPr>
    </w:p>
    <w:p>
      <w:pPr>
        <w:ind w:left="1780" w:right="1399" w:hanging="280"/>
        <w:spacing w:after="0" w:line="299" w:lineRule="auto"/>
        <w:tabs>
          <w:tab w:leader="none" w:pos="17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53" w:lineRule="exact"/>
        <w:rPr>
          <w:rFonts w:ascii="Times New Roman" w:cs="Times New Roman" w:eastAsia="Times New Roman" w:hAnsi="Times New Roman"/>
          <w:sz w:val="14"/>
          <w:szCs w:val="14"/>
          <w:color w:val="auto"/>
        </w:rPr>
      </w:pPr>
    </w:p>
    <w:p>
      <w:pPr>
        <w:ind w:left="1780" w:hanging="280"/>
        <w:spacing w:after="0"/>
        <w:tabs>
          <w:tab w:leader="none" w:pos="17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under the Securities Act to any purchaser:</w:t>
      </w:r>
    </w:p>
    <w:p>
      <w:pPr>
        <w:spacing w:after="0" w:line="131" w:lineRule="exact"/>
        <w:rPr>
          <w:rFonts w:ascii="Times New Roman" w:cs="Times New Roman" w:eastAsia="Times New Roman" w:hAnsi="Times New Roman"/>
          <w:sz w:val="14"/>
          <w:szCs w:val="14"/>
          <w:color w:val="auto"/>
        </w:rPr>
      </w:pPr>
    </w:p>
    <w:p>
      <w:pPr>
        <w:ind w:left="2080" w:right="1339" w:hanging="291"/>
        <w:spacing w:after="0" w:line="278" w:lineRule="auto"/>
        <w:tabs>
          <w:tab w:leader="none" w:pos="2080"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filed by the registrant pursuant to Rule 424(b)(3) shall be deemed to be part of this registration statement as of the date the filed prospectus was deemed part of and included in this registration statement; and</w:t>
      </w:r>
    </w:p>
    <w:p>
      <w:pPr>
        <w:spacing w:after="0" w:line="68" w:lineRule="exact"/>
        <w:rPr>
          <w:rFonts w:ascii="Times New Roman" w:cs="Times New Roman" w:eastAsia="Times New Roman" w:hAnsi="Times New Roman"/>
          <w:sz w:val="14"/>
          <w:szCs w:val="14"/>
          <w:color w:val="auto"/>
        </w:rPr>
      </w:pPr>
    </w:p>
    <w:p>
      <w:pPr>
        <w:ind w:left="2080" w:right="1259" w:hanging="291"/>
        <w:spacing w:after="0" w:line="261" w:lineRule="auto"/>
        <w:tabs>
          <w:tab w:leader="none" w:pos="2080"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this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this registration statement or made in a document incorporated or deemed incorporated by reference into this registration statement or prospectus that is part of this registration statement will, as to a purchaser with a time of contract of sale prior to such effective date, supersede or modify any statement that was made in this registration statement or prospectus that was part of this registration statement or made in any such document immediately prior to such effective date.</w:t>
      </w:r>
    </w:p>
    <w:p>
      <w:pPr>
        <w:spacing w:after="0" w:line="263" w:lineRule="exact"/>
        <w:rPr>
          <w:rFonts w:ascii="Times New Roman" w:cs="Times New Roman" w:eastAsia="Times New Roman" w:hAnsi="Times New Roman"/>
          <w:sz w:val="14"/>
          <w:szCs w:val="14"/>
          <w:color w:val="auto"/>
        </w:rPr>
      </w:pPr>
    </w:p>
    <w:p>
      <w:pPr>
        <w:ind w:left="1780" w:right="1259" w:hanging="280"/>
        <w:spacing w:after="0" w:line="265" w:lineRule="auto"/>
        <w:tabs>
          <w:tab w:leader="none" w:pos="17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265" w:lineRule="exact"/>
        <w:rPr>
          <w:rFonts w:ascii="Times New Roman" w:cs="Times New Roman" w:eastAsia="Times New Roman" w:hAnsi="Times New Roman"/>
          <w:sz w:val="14"/>
          <w:szCs w:val="14"/>
          <w:color w:val="auto"/>
        </w:rPr>
      </w:pPr>
    </w:p>
    <w:p>
      <w:pPr>
        <w:ind w:left="2080" w:right="1739" w:hanging="291"/>
        <w:spacing w:after="0" w:line="299" w:lineRule="auto"/>
        <w:tabs>
          <w:tab w:leader="none" w:pos="2080"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preliminary prospectus or prospectus of the undersigned registrant relating to the offering required to be filed pursuant to Rule 424;</w:t>
      </w:r>
    </w:p>
    <w:p>
      <w:pPr>
        <w:spacing w:after="0" w:line="53" w:lineRule="exact"/>
        <w:rPr>
          <w:rFonts w:ascii="Times New Roman" w:cs="Times New Roman" w:eastAsia="Times New Roman" w:hAnsi="Times New Roman"/>
          <w:sz w:val="14"/>
          <w:szCs w:val="14"/>
          <w:color w:val="auto"/>
        </w:rPr>
      </w:pPr>
    </w:p>
    <w:p>
      <w:pPr>
        <w:ind w:left="2080" w:right="1919" w:hanging="291"/>
        <w:spacing w:after="0" w:line="299" w:lineRule="auto"/>
        <w:tabs>
          <w:tab w:leader="none" w:pos="2080"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free writing prospectus relating to the offering prepared by or on behalf of the undersigned registrant or used or referred to by the undersigned registrant;</w:t>
      </w:r>
    </w:p>
    <w:p>
      <w:pPr>
        <w:spacing w:after="0" w:line="64" w:lineRule="exact"/>
        <w:rPr>
          <w:rFonts w:ascii="Times New Roman" w:cs="Times New Roman" w:eastAsia="Times New Roman" w:hAnsi="Times New Roman"/>
          <w:sz w:val="14"/>
          <w:szCs w:val="14"/>
          <w:color w:val="auto"/>
        </w:rPr>
      </w:pPr>
    </w:p>
    <w:p>
      <w:pPr>
        <w:jc w:val="both"/>
        <w:ind w:left="2080" w:right="1359" w:hanging="291"/>
        <w:spacing w:after="0" w:line="278" w:lineRule="auto"/>
        <w:tabs>
          <w:tab w:leader="none" w:pos="2080"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any other free writing prospectus relating to the offering containing material information about the undersigned registrant or its securities provided by or on behalf of the undersigned registrant; and</w:t>
      </w:r>
    </w:p>
    <w:p>
      <w:pPr>
        <w:spacing w:after="0" w:line="2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203835</wp:posOffset>
            </wp:positionV>
            <wp:extent cx="5479415" cy="393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3">
                      <a:extLst>
                        <a:ext uri="{28A0092B-C50C-407E-A947-70E740481C1C}"/>
                      </a:extLst>
                    </a:blip>
                    <a:srcRect/>
                    <a:stretch>
                      <a:fillRect/>
                    </a:stretch>
                  </pic:blipFill>
                  <pic:spPr bwMode="auto">
                    <a:xfrm>
                      <a:off x="0" y="0"/>
                      <a:ext cx="5479415"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24" w:name="page25"/>
    <w:bookmarkEnd w:id="24"/>
    <w:p>
      <w:pPr>
        <w:ind w:left="20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80" w:right="1379" w:hanging="291"/>
        <w:spacing w:after="0" w:line="299" w:lineRule="auto"/>
        <w:tabs>
          <w:tab w:leader="none" w:pos="20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communication that is an offer in the offering made by the undersigned registrant to the purchaser.</w:t>
      </w:r>
    </w:p>
    <w:p>
      <w:pPr>
        <w:spacing w:after="0" w:line="65" w:lineRule="exact"/>
        <w:rPr>
          <w:sz w:val="20"/>
          <w:szCs w:val="20"/>
          <w:color w:val="auto"/>
        </w:rPr>
      </w:pPr>
    </w:p>
    <w:p>
      <w:pPr>
        <w:ind w:left="1220" w:right="1299" w:firstLine="289"/>
        <w:spacing w:after="0" w:line="266" w:lineRule="auto"/>
        <w:rPr>
          <w:sz w:val="20"/>
          <w:szCs w:val="20"/>
          <w:color w:val="auto"/>
        </w:rPr>
      </w:pPr>
      <w:r>
        <w:rPr>
          <w:rFonts w:ascii="Times New Roman" w:cs="Times New Roman" w:eastAsia="Times New Roman" w:hAnsi="Times New Roman"/>
          <w:sz w:val="14"/>
          <w:szCs w:val="14"/>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88" w:lineRule="exact"/>
        <w:rPr>
          <w:sz w:val="20"/>
          <w:szCs w:val="20"/>
          <w:color w:val="auto"/>
        </w:rPr>
      </w:pPr>
    </w:p>
    <w:p>
      <w:pPr>
        <w:ind w:left="1220" w:right="1239" w:firstLine="289"/>
        <w:spacing w:after="0" w:line="262" w:lineRule="auto"/>
        <w:rPr>
          <w:sz w:val="20"/>
          <w:szCs w:val="20"/>
          <w:color w:val="auto"/>
        </w:rPr>
      </w:pPr>
      <w:r>
        <w:rPr>
          <w:rFonts w:ascii="Times New Roman" w:cs="Times New Roman" w:eastAsia="Times New Roman" w:hAnsi="Times New Roman"/>
          <w:sz w:val="14"/>
          <w:szCs w:val="14"/>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203835</wp:posOffset>
            </wp:positionV>
            <wp:extent cx="5479415" cy="393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4">
                      <a:extLst>
                        <a:ext uri="{28A0092B-C50C-407E-A947-70E740481C1C}"/>
                      </a:extLst>
                    </a:blip>
                    <a:srcRect/>
                    <a:stretch>
                      <a:fillRect/>
                    </a:stretch>
                  </pic:blipFill>
                  <pic:spPr bwMode="auto">
                    <a:xfrm>
                      <a:off x="0" y="0"/>
                      <a:ext cx="5479415"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25" w:name="page26"/>
    <w:bookmarkEnd w:id="25"/>
    <w:p>
      <w:pPr>
        <w:ind w:left="20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33" w:lineRule="exact"/>
        <w:rPr>
          <w:sz w:val="20"/>
          <w:szCs w:val="20"/>
          <w:color w:val="auto"/>
        </w:rPr>
      </w:pPr>
    </w:p>
    <w:p>
      <w:pPr>
        <w:ind w:left="1220" w:right="1279" w:firstLine="289"/>
        <w:spacing w:after="0" w:line="261"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registrant certifies that it has reasonable grounds to believe that it meets all of the requirements for filing on Form S-3 and has duly caused this registration statement on Form S-3 to be signed on its behalf by the undersigned, thereunto duly authorized, in the City of Newark, State of California on April 14, 2026.</w:t>
      </w:r>
    </w:p>
    <w:p>
      <w:pPr>
        <w:spacing w:after="0" w:line="7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b w:val="1"/>
          <w:bCs w:val="1"/>
          <w:color w:val="auto"/>
        </w:rPr>
        <w:t>Lucid Group, Inc.</w:t>
      </w:r>
    </w:p>
    <w:p>
      <w:pPr>
        <w:spacing w:after="0" w:line="16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color w:val="auto"/>
        </w:rPr>
        <w:t>By: /s/ Marc Winterhoff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37465</wp:posOffset>
            </wp:positionV>
            <wp:extent cx="1980565"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5">
                      <a:extLst>
                        <a:ext uri="{28A0092B-C50C-407E-A947-70E740481C1C}"/>
                      </a:extLst>
                    </a:blip>
                    <a:srcRect/>
                    <a:stretch>
                      <a:fillRect/>
                    </a:stretch>
                  </pic:blipFill>
                  <pic:spPr bwMode="auto">
                    <a:xfrm>
                      <a:off x="0" y="0"/>
                      <a:ext cx="1980565" cy="6985"/>
                    </a:xfrm>
                    <a:prstGeom prst="rect">
                      <a:avLst/>
                    </a:prstGeom>
                    <a:noFill/>
                  </pic:spPr>
                </pic:pic>
              </a:graphicData>
            </a:graphic>
          </wp:anchor>
        </w:drawing>
      </w:r>
    </w:p>
    <w:p>
      <w:pPr>
        <w:spacing w:after="0" w:line="101"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4"/>
          <w:szCs w:val="14"/>
          <w:color w:val="auto"/>
        </w:rPr>
        <w:t>Name: Marc Winterhoff</w:t>
      </w:r>
    </w:p>
    <w:p>
      <w:pPr>
        <w:spacing w:after="0" w:line="17" w:lineRule="exact"/>
        <w:rPr>
          <w:sz w:val="20"/>
          <w:szCs w:val="20"/>
          <w:color w:val="auto"/>
        </w:rPr>
      </w:pPr>
    </w:p>
    <w:p>
      <w:pPr>
        <w:ind w:left="4680"/>
        <w:spacing w:after="0"/>
        <w:tabs>
          <w:tab w:leader="none" w:pos="5140" w:val="left"/>
        </w:tabs>
        <w:rPr>
          <w:sz w:val="20"/>
          <w:szCs w:val="20"/>
          <w:color w:val="auto"/>
        </w:rPr>
      </w:pPr>
      <w:r>
        <w:rPr>
          <w:rFonts w:ascii="Times New Roman" w:cs="Times New Roman" w:eastAsia="Times New Roman" w:hAnsi="Times New Roman"/>
          <w:sz w:val="14"/>
          <w:szCs w:val="14"/>
          <w:color w:val="auto"/>
        </w:rPr>
        <w:t>Title:</w:t>
        <w:tab/>
        <w:t>Interim Chief Executive Officer</w:t>
      </w:r>
    </w:p>
    <w:p>
      <w:pPr>
        <w:spacing w:after="0" w:line="115" w:lineRule="exact"/>
        <w:rPr>
          <w:sz w:val="20"/>
          <w:szCs w:val="20"/>
          <w:color w:val="auto"/>
        </w:rPr>
      </w:pPr>
    </w:p>
    <w:p>
      <w:pPr>
        <w:ind w:left="1220" w:right="1239" w:firstLine="289"/>
        <w:spacing w:after="0" w:line="250" w:lineRule="auto"/>
        <w:rPr>
          <w:sz w:val="20"/>
          <w:szCs w:val="20"/>
          <w:color w:val="auto"/>
        </w:rPr>
      </w:pPr>
      <w:r>
        <w:rPr>
          <w:rFonts w:ascii="Times New Roman" w:cs="Times New Roman" w:eastAsia="Times New Roman" w:hAnsi="Times New Roman"/>
          <w:sz w:val="14"/>
          <w:szCs w:val="14"/>
          <w:color w:val="auto"/>
        </w:rPr>
        <w:t>In accordance with the requirements of the Securities Act of 1933, as amended, this Registration Statement has been signed by the following persons in the capacities and on the dates stated. Each person whose signature appears below constitutes and appoints Marc Winterhoff and Taoufiq Boussaid and each of them severally, as his or her true and lawful attorney -in- fact and agent, each acting along with full power of substitution and resubstitution, for him or her and in his or her name, place and stead, in any and all capacities, to sign any or all amendments (including post-effective amendments) and exhibits to the Registration Statement on Form S- 3, and to any registration statement filed under SEC Rule 462, and to file the same, with all exhibits thereto, and all documents in connection therewith, with the SEC,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spacing w:after="0" w:line="257" w:lineRule="exact"/>
        <w:rPr>
          <w:sz w:val="20"/>
          <w:szCs w:val="20"/>
          <w:color w:val="auto"/>
        </w:rPr>
      </w:pPr>
    </w:p>
    <w:p>
      <w:pPr>
        <w:ind w:left="1220" w:right="1319" w:firstLine="289"/>
        <w:spacing w:after="0" w:line="299"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on Form S-3 has been signed by the following persons in the capacities indicated on April 14, 2026.</w:t>
      </w:r>
    </w:p>
    <w:p>
      <w:pPr>
        <w:spacing w:after="0" w:line="60" w:lineRule="exact"/>
        <w:rPr>
          <w:sz w:val="20"/>
          <w:szCs w:val="20"/>
          <w:color w:val="auto"/>
        </w:rPr>
      </w:pPr>
    </w:p>
    <w:tbl>
      <w:tblPr>
        <w:tblLayout w:type="fixed"/>
        <w:tblInd w:w="200" w:type="dxa"/>
        <w:tblCellMar>
          <w:top w:w="0" w:type="dxa"/>
          <w:left w:w="0" w:type="dxa"/>
          <w:bottom w:w="0" w:type="dxa"/>
          <w:right w:w="0" w:type="dxa"/>
        </w:tblCellMar>
      </w:tblPr>
      <w:tr>
        <w:trPr>
          <w:trHeight w:val="182"/>
        </w:trPr>
        <w:tc>
          <w:tcPr>
            <w:tcW w:w="1400" w:type="dxa"/>
            <w:vAlign w:val="bottom"/>
            <w:gridSpan w:val="2"/>
          </w:tcPr>
          <w:p>
            <w:pPr>
              <w:ind w:left="1020"/>
              <w:spacing w:after="0"/>
              <w:rPr>
                <w:sz w:val="20"/>
                <w:szCs w:val="20"/>
                <w:color w:val="auto"/>
              </w:rPr>
            </w:pPr>
            <w:r>
              <w:rPr>
                <w:rFonts w:ascii="Times New Roman" w:cs="Times New Roman" w:eastAsia="Times New Roman" w:hAnsi="Times New Roman"/>
                <w:sz w:val="12"/>
                <w:szCs w:val="12"/>
                <w:b w:val="1"/>
                <w:bCs w:val="1"/>
                <w:color w:val="auto"/>
              </w:rPr>
              <w:t>​</w:t>
            </w:r>
          </w:p>
        </w:tc>
        <w:tc>
          <w:tcPr>
            <w:tcW w:w="24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1"/>
              </w:rPr>
              <w:t>Signature</w:t>
            </w:r>
          </w:p>
        </w:tc>
        <w:tc>
          <w:tcPr>
            <w:tcW w:w="400" w:type="dxa"/>
            <w:vAlign w:val="bottom"/>
          </w:tcPr>
          <w:p>
            <w:pPr>
              <w:spacing w:after="0"/>
              <w:rPr>
                <w:sz w:val="15"/>
                <w:szCs w:val="15"/>
                <w:color w:val="auto"/>
              </w:rPr>
            </w:pP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3120" w:type="dxa"/>
            <w:vAlign w:val="bottom"/>
          </w:tcPr>
          <w:p>
            <w:pPr>
              <w:ind w:left="1400"/>
              <w:spacing w:after="0"/>
              <w:rPr>
                <w:sz w:val="20"/>
                <w:szCs w:val="20"/>
                <w:color w:val="auto"/>
              </w:rPr>
            </w:pPr>
            <w:r>
              <w:rPr>
                <w:rFonts w:ascii="Times New Roman" w:cs="Times New Roman" w:eastAsia="Times New Roman" w:hAnsi="Times New Roman"/>
                <w:sz w:val="12"/>
                <w:szCs w:val="12"/>
                <w:b w:val="1"/>
                <w:bCs w:val="1"/>
                <w:color w:val="auto"/>
              </w:rPr>
              <w:t>Title</w:t>
            </w:r>
          </w:p>
        </w:tc>
        <w:tc>
          <w:tcPr>
            <w:tcW w:w="10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12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140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 Marc Winterhoff</w:t>
            </w:r>
          </w:p>
        </w:tc>
        <w:tc>
          <w:tcPr>
            <w:tcW w:w="400" w:type="dxa"/>
            <w:vAlign w:val="bottom"/>
          </w:tcPr>
          <w:p>
            <w:pPr>
              <w:spacing w:after="0"/>
              <w:rPr>
                <w:sz w:val="24"/>
                <w:szCs w:val="24"/>
                <w:color w:val="auto"/>
              </w:rPr>
            </w:pP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312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Interim Chief Executive Officer</w:t>
            </w:r>
          </w:p>
        </w:tc>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
        </w:trPr>
        <w:tc>
          <w:tcPr>
            <w:tcW w:w="10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120" w:type="dxa"/>
            <w:vAlign w:val="bottom"/>
            <w:vMerge w:val="restart"/>
          </w:tcPr>
          <w:p>
            <w:pPr>
              <w:jc w:val="center"/>
              <w:ind w:right="9"/>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1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Marc Winterhoff</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120" w:type="dxa"/>
            <w:vAlign w:val="bottom"/>
            <w:vMerge w:val="continue"/>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10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3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5"/>
        </w:trPr>
        <w:tc>
          <w:tcPr>
            <w:tcW w:w="140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 Taoufiq Boussaid</w:t>
            </w:r>
          </w:p>
        </w:tc>
        <w:tc>
          <w:tcPr>
            <w:tcW w:w="400" w:type="dxa"/>
            <w:vAlign w:val="bottom"/>
          </w:tcPr>
          <w:p>
            <w:pPr>
              <w:spacing w:after="0"/>
              <w:rPr>
                <w:sz w:val="24"/>
                <w:szCs w:val="24"/>
                <w:color w:val="auto"/>
              </w:rPr>
            </w:pP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3120" w:type="dxa"/>
            <w:vAlign w:val="bottom"/>
          </w:tcPr>
          <w:p>
            <w:pPr>
              <w:jc w:val="center"/>
              <w:ind w:right="49"/>
              <w:spacing w:after="0"/>
              <w:rPr>
                <w:sz w:val="20"/>
                <w:szCs w:val="20"/>
                <w:color w:val="auto"/>
              </w:rPr>
            </w:pPr>
            <w:r>
              <w:rPr>
                <w:rFonts w:ascii="Times New Roman" w:cs="Times New Roman" w:eastAsia="Times New Roman" w:hAnsi="Times New Roman"/>
                <w:sz w:val="14"/>
                <w:szCs w:val="14"/>
                <w:color w:val="auto"/>
              </w:rPr>
              <w:t>Chief Financial Officer</w:t>
            </w:r>
          </w:p>
        </w:tc>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
        </w:trPr>
        <w:tc>
          <w:tcPr>
            <w:tcW w:w="10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120" w:type="dxa"/>
            <w:vAlign w:val="bottom"/>
            <w:vMerge w:val="restart"/>
          </w:tcPr>
          <w:p>
            <w:pPr>
              <w:jc w:val="center"/>
              <w:ind w:right="9"/>
              <w:spacing w:after="0"/>
              <w:rPr>
                <w:sz w:val="20"/>
                <w:szCs w:val="20"/>
                <w:color w:val="auto"/>
              </w:rPr>
            </w:pPr>
            <w:r>
              <w:rPr>
                <w:rFonts w:ascii="Times New Roman" w:cs="Times New Roman" w:eastAsia="Times New Roman" w:hAnsi="Times New Roman"/>
                <w:sz w:val="14"/>
                <w:szCs w:val="14"/>
                <w:color w:val="auto"/>
              </w:rPr>
              <w:t>(Principal Financial Officer)</w:t>
            </w: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1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Taoufiq Boussaid</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120" w:type="dxa"/>
            <w:vAlign w:val="bottom"/>
            <w:vMerge w:val="continue"/>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10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3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5"/>
        </w:trPr>
        <w:tc>
          <w:tcPr>
            <w:tcW w:w="140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 Gagan Dhingra</w:t>
            </w:r>
          </w:p>
        </w:tc>
        <w:tc>
          <w:tcPr>
            <w:tcW w:w="400" w:type="dxa"/>
            <w:vAlign w:val="bottom"/>
          </w:tcPr>
          <w:p>
            <w:pPr>
              <w:spacing w:after="0"/>
              <w:rPr>
                <w:sz w:val="24"/>
                <w:szCs w:val="24"/>
                <w:color w:val="auto"/>
              </w:rPr>
            </w:pP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312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Senior Vice President, Finance and Accounting</w:t>
            </w:r>
          </w:p>
        </w:tc>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
        </w:trPr>
        <w:tc>
          <w:tcPr>
            <w:tcW w:w="10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120" w:type="dxa"/>
            <w:vAlign w:val="bottom"/>
            <w:vMerge w:val="restart"/>
          </w:tcPr>
          <w:p>
            <w:pPr>
              <w:jc w:val="center"/>
              <w:ind w:right="29"/>
              <w:spacing w:after="0"/>
              <w:rPr>
                <w:sz w:val="20"/>
                <w:szCs w:val="20"/>
                <w:color w:val="auto"/>
              </w:rPr>
            </w:pPr>
            <w:r>
              <w:rPr>
                <w:rFonts w:ascii="Times New Roman" w:cs="Times New Roman" w:eastAsia="Times New Roman" w:hAnsi="Times New Roman"/>
                <w:sz w:val="14"/>
                <w:szCs w:val="14"/>
                <w:color w:val="auto"/>
              </w:rPr>
              <w:t>(Principal Accounting Officer)</w:t>
            </w: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1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Gagan Dhingra</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120" w:type="dxa"/>
            <w:vAlign w:val="bottom"/>
            <w:vMerge w:val="continue"/>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10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3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9"/>
        </w:trPr>
        <w:tc>
          <w:tcPr>
            <w:tcW w:w="140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 Turqi Alnowaiser</w:t>
            </w:r>
          </w:p>
        </w:tc>
        <w:tc>
          <w:tcPr>
            <w:tcW w:w="400" w:type="dxa"/>
            <w:vAlign w:val="bottom"/>
          </w:tcPr>
          <w:p>
            <w:pPr>
              <w:spacing w:after="0"/>
              <w:rPr>
                <w:sz w:val="24"/>
                <w:szCs w:val="24"/>
                <w:color w:val="auto"/>
              </w:rPr>
            </w:pP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3120" w:type="dxa"/>
            <w:vAlign w:val="bottom"/>
            <w:vMerge w:val="restart"/>
          </w:tcPr>
          <w:p>
            <w:pPr>
              <w:jc w:val="center"/>
              <w:ind w:right="29"/>
              <w:spacing w:after="0"/>
              <w:rPr>
                <w:sz w:val="20"/>
                <w:szCs w:val="20"/>
                <w:color w:val="auto"/>
              </w:rPr>
            </w:pPr>
            <w:r>
              <w:rPr>
                <w:rFonts w:ascii="Times New Roman" w:cs="Times New Roman" w:eastAsia="Times New Roman" w:hAnsi="Times New Roman"/>
                <w:sz w:val="14"/>
                <w:szCs w:val="14"/>
                <w:color w:val="auto"/>
              </w:rPr>
              <w:t>Director</w:t>
            </w:r>
          </w:p>
        </w:tc>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20" w:type="dxa"/>
            <w:vAlign w:val="bottom"/>
            <w:vMerge w:val="continu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
        </w:trPr>
        <w:tc>
          <w:tcPr>
            <w:tcW w:w="10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Turqi Alnowaiser</w:t>
            </w: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3120" w:type="dxa"/>
            <w:vAlign w:val="bottom"/>
            <w:vMerge w:val="continue"/>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1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9"/>
        </w:trPr>
        <w:tc>
          <w:tcPr>
            <w:tcW w:w="140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 Douglas Grimm</w:t>
            </w:r>
          </w:p>
        </w:tc>
        <w:tc>
          <w:tcPr>
            <w:tcW w:w="400" w:type="dxa"/>
            <w:vAlign w:val="bottom"/>
          </w:tcPr>
          <w:p>
            <w:pPr>
              <w:spacing w:after="0"/>
              <w:rPr>
                <w:sz w:val="24"/>
                <w:szCs w:val="24"/>
                <w:color w:val="auto"/>
              </w:rPr>
            </w:pP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3120" w:type="dxa"/>
            <w:vAlign w:val="bottom"/>
            <w:vMerge w:val="restart"/>
          </w:tcPr>
          <w:p>
            <w:pPr>
              <w:jc w:val="center"/>
              <w:ind w:right="29"/>
              <w:spacing w:after="0"/>
              <w:rPr>
                <w:sz w:val="20"/>
                <w:szCs w:val="20"/>
                <w:color w:val="auto"/>
              </w:rPr>
            </w:pPr>
            <w:r>
              <w:rPr>
                <w:rFonts w:ascii="Times New Roman" w:cs="Times New Roman" w:eastAsia="Times New Roman" w:hAnsi="Times New Roman"/>
                <w:sz w:val="14"/>
                <w:szCs w:val="14"/>
                <w:color w:val="auto"/>
              </w:rPr>
              <w:t>Director</w:t>
            </w:r>
          </w:p>
        </w:tc>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20" w:type="dxa"/>
            <w:vAlign w:val="bottom"/>
            <w:vMerge w:val="continu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
        </w:trPr>
        <w:tc>
          <w:tcPr>
            <w:tcW w:w="10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Douglas Grimm</w:t>
            </w: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3120" w:type="dxa"/>
            <w:vAlign w:val="bottom"/>
            <w:vMerge w:val="continue"/>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1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9"/>
        </w:trPr>
        <w:tc>
          <w:tcPr>
            <w:tcW w:w="140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 Lisa M. Lambert</w:t>
            </w:r>
          </w:p>
        </w:tc>
        <w:tc>
          <w:tcPr>
            <w:tcW w:w="400" w:type="dxa"/>
            <w:vAlign w:val="bottom"/>
          </w:tcPr>
          <w:p>
            <w:pPr>
              <w:spacing w:after="0"/>
              <w:rPr>
                <w:sz w:val="24"/>
                <w:szCs w:val="24"/>
                <w:color w:val="auto"/>
              </w:rPr>
            </w:pP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3120" w:type="dxa"/>
            <w:vAlign w:val="bottom"/>
            <w:vMerge w:val="restart"/>
          </w:tcPr>
          <w:p>
            <w:pPr>
              <w:jc w:val="center"/>
              <w:ind w:right="29"/>
              <w:spacing w:after="0"/>
              <w:rPr>
                <w:sz w:val="20"/>
                <w:szCs w:val="20"/>
                <w:color w:val="auto"/>
              </w:rPr>
            </w:pPr>
            <w:r>
              <w:rPr>
                <w:rFonts w:ascii="Times New Roman" w:cs="Times New Roman" w:eastAsia="Times New Roman" w:hAnsi="Times New Roman"/>
                <w:sz w:val="14"/>
                <w:szCs w:val="14"/>
                <w:color w:val="auto"/>
              </w:rPr>
              <w:t>Director</w:t>
            </w:r>
          </w:p>
        </w:tc>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20" w:type="dxa"/>
            <w:vAlign w:val="bottom"/>
            <w:vMerge w:val="continu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
        </w:trPr>
        <w:tc>
          <w:tcPr>
            <w:tcW w:w="10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Lisa M. Lambert</w:t>
            </w: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3120" w:type="dxa"/>
            <w:vAlign w:val="bottom"/>
            <w:vMerge w:val="continue"/>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1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9"/>
        </w:trPr>
        <w:tc>
          <w:tcPr>
            <w:tcW w:w="140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 Andrew Liveris</w:t>
            </w:r>
          </w:p>
        </w:tc>
        <w:tc>
          <w:tcPr>
            <w:tcW w:w="400" w:type="dxa"/>
            <w:vAlign w:val="bottom"/>
          </w:tcPr>
          <w:p>
            <w:pPr>
              <w:spacing w:after="0"/>
              <w:rPr>
                <w:sz w:val="24"/>
                <w:szCs w:val="24"/>
                <w:color w:val="auto"/>
              </w:rPr>
            </w:pP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3120" w:type="dxa"/>
            <w:vAlign w:val="bottom"/>
            <w:vMerge w:val="restart"/>
          </w:tcPr>
          <w:p>
            <w:pPr>
              <w:jc w:val="center"/>
              <w:ind w:right="29"/>
              <w:spacing w:after="0"/>
              <w:rPr>
                <w:sz w:val="20"/>
                <w:szCs w:val="20"/>
                <w:color w:val="auto"/>
              </w:rPr>
            </w:pPr>
            <w:r>
              <w:rPr>
                <w:rFonts w:ascii="Times New Roman" w:cs="Times New Roman" w:eastAsia="Times New Roman" w:hAnsi="Times New Roman"/>
                <w:sz w:val="14"/>
                <w:szCs w:val="14"/>
                <w:color w:val="auto"/>
              </w:rPr>
              <w:t>Director</w:t>
            </w:r>
          </w:p>
        </w:tc>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20" w:type="dxa"/>
            <w:vAlign w:val="bottom"/>
            <w:vMerge w:val="continu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
        </w:trPr>
        <w:tc>
          <w:tcPr>
            <w:tcW w:w="10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Andrew Liveris</w:t>
            </w: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3120" w:type="dxa"/>
            <w:vAlign w:val="bottom"/>
            <w:vMerge w:val="continue"/>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1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9"/>
        </w:trPr>
        <w:tc>
          <w:tcPr>
            <w:tcW w:w="140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 Nichelle Maynard-Elliott</w:t>
            </w:r>
          </w:p>
        </w:tc>
        <w:tc>
          <w:tcPr>
            <w:tcW w:w="400" w:type="dxa"/>
            <w:vAlign w:val="bottom"/>
          </w:tcPr>
          <w:p>
            <w:pPr>
              <w:spacing w:after="0"/>
              <w:rPr>
                <w:sz w:val="24"/>
                <w:szCs w:val="24"/>
                <w:color w:val="auto"/>
              </w:rPr>
            </w:pP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3120" w:type="dxa"/>
            <w:vAlign w:val="bottom"/>
            <w:vMerge w:val="restart"/>
          </w:tcPr>
          <w:p>
            <w:pPr>
              <w:jc w:val="center"/>
              <w:ind w:right="29"/>
              <w:spacing w:after="0"/>
              <w:rPr>
                <w:sz w:val="20"/>
                <w:szCs w:val="20"/>
                <w:color w:val="auto"/>
              </w:rPr>
            </w:pPr>
            <w:r>
              <w:rPr>
                <w:rFonts w:ascii="Times New Roman" w:cs="Times New Roman" w:eastAsia="Times New Roman" w:hAnsi="Times New Roman"/>
                <w:sz w:val="14"/>
                <w:szCs w:val="14"/>
                <w:color w:val="auto"/>
              </w:rPr>
              <w:t>Director</w:t>
            </w:r>
          </w:p>
        </w:tc>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20" w:type="dxa"/>
            <w:vAlign w:val="bottom"/>
            <w:vMerge w:val="continu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
        </w:trPr>
        <w:tc>
          <w:tcPr>
            <w:tcW w:w="10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Nichelle Maynard-Elliott</w:t>
            </w: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3120" w:type="dxa"/>
            <w:vAlign w:val="bottom"/>
            <w:vMerge w:val="continue"/>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1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7"/>
        </w:trPr>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660" w:type="dxa"/>
            <w:vAlign w:val="bottom"/>
            <w:gridSpan w:val="3"/>
          </w:tcPr>
          <w:p>
            <w:pPr>
              <w:ind w:left="360"/>
              <w:spacing w:after="0"/>
              <w:rPr>
                <w:sz w:val="20"/>
                <w:szCs w:val="20"/>
                <w:color w:val="auto"/>
              </w:rPr>
            </w:pPr>
            <w:r>
              <w:rPr>
                <w:rFonts w:ascii="Times New Roman" w:cs="Times New Roman" w:eastAsia="Times New Roman" w:hAnsi="Times New Roman"/>
                <w:sz w:val="14"/>
                <w:szCs w:val="14"/>
                <w:color w:val="auto"/>
              </w:rPr>
              <w:t>II-6</w:t>
            </w:r>
          </w:p>
        </w:tc>
        <w:tc>
          <w:tcPr>
            <w:tcW w:w="3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10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5567680</wp:posOffset>
            </wp:positionH>
            <wp:positionV relativeFrom="paragraph">
              <wp:posOffset>-26035</wp:posOffset>
            </wp:positionV>
            <wp:extent cx="32385" cy="393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6">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-26035</wp:posOffset>
            </wp:positionV>
            <wp:extent cx="32385" cy="393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7">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97" w:right="1440" w:bottom="1440" w:gutter="0" w:footer="0" w:header="0"/>
        </w:sectPr>
      </w:pPr>
    </w:p>
    <w:bookmarkStart w:id="26" w:name="page27"/>
    <w:bookmarkEnd w:id="26"/>
    <w:p>
      <w:pPr>
        <w:ind w:left="20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246" w:lineRule="exact"/>
        <w:rPr>
          <w:sz w:val="20"/>
          <w:szCs w:val="20"/>
          <w:color w:val="auto"/>
        </w:rPr>
      </w:pPr>
    </w:p>
    <w:p>
      <w:pPr>
        <w:jc w:val="right"/>
        <w:ind w:right="340"/>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67" w:lineRule="exact"/>
        <w:rPr>
          <w:sz w:val="20"/>
          <w:szCs w:val="20"/>
          <w:color w:val="auto"/>
        </w:rPr>
      </w:pPr>
    </w:p>
    <w:p>
      <w:pPr>
        <w:jc w:val="right"/>
        <w:ind w:right="340"/>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56" w:lineRule="exact"/>
        <w:rPr>
          <w:sz w:val="20"/>
          <w:szCs w:val="20"/>
          <w:color w:val="auto"/>
        </w:rPr>
      </w:pPr>
    </w:p>
    <w:p>
      <w:pPr>
        <w:jc w:val="right"/>
        <w:ind w:right="340"/>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-687070</wp:posOffset>
            </wp:positionH>
            <wp:positionV relativeFrom="paragraph">
              <wp:posOffset>27940</wp:posOffset>
            </wp:positionV>
            <wp:extent cx="2035810"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8">
                      <a:extLst>
                        <a:ext uri="{28A0092B-C50C-407E-A947-70E740481C1C}"/>
                      </a:extLst>
                    </a:blip>
                    <a:srcRect/>
                    <a:stretch>
                      <a:fillRect/>
                    </a:stretch>
                  </pic:blipFill>
                  <pic:spPr bwMode="auto">
                    <a:xfrm>
                      <a:off x="0" y="0"/>
                      <a:ext cx="2035810" cy="6985"/>
                    </a:xfrm>
                    <a:prstGeom prst="rect">
                      <a:avLst/>
                    </a:prstGeom>
                    <a:noFill/>
                  </pic:spPr>
                </pic:pic>
              </a:graphicData>
            </a:graphic>
          </wp:anchor>
        </w:drawing>
      </w:r>
    </w:p>
    <w:p>
      <w:pPr>
        <w:spacing w:after="0" w:line="24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4"/>
          <w:szCs w:val="14"/>
          <w:color w:val="auto"/>
        </w:rPr>
        <w:t>/s/ Chabi Nouri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-687070</wp:posOffset>
            </wp:positionH>
            <wp:positionV relativeFrom="paragraph">
              <wp:posOffset>44450</wp:posOffset>
            </wp:positionV>
            <wp:extent cx="2035810"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9">
                      <a:extLst>
                        <a:ext uri="{28A0092B-C50C-407E-A947-70E740481C1C}"/>
                      </a:extLst>
                    </a:blip>
                    <a:srcRect/>
                    <a:stretch>
                      <a:fillRect/>
                    </a:stretch>
                  </pic:blipFill>
                  <pic:spPr bwMode="auto">
                    <a:xfrm>
                      <a:off x="0" y="0"/>
                      <a:ext cx="2035810" cy="6985"/>
                    </a:xfrm>
                    <a:prstGeom prst="rect">
                      <a:avLst/>
                    </a:prstGeom>
                    <a:noFill/>
                  </pic:spPr>
                </pic:pic>
              </a:graphicData>
            </a:graphic>
          </wp:anchor>
        </w:drawing>
      </w:r>
    </w:p>
    <w:p>
      <w:pPr>
        <w:spacing w:after="0" w:line="7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4"/>
          <w:szCs w:val="14"/>
          <w:color w:val="auto"/>
        </w:rPr>
        <w:t>Chabi Nouri</w:t>
      </w:r>
    </w:p>
    <w:p>
      <w:pPr>
        <w:spacing w:after="0" w:line="19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4"/>
          <w:szCs w:val="14"/>
          <w:color w:val="auto"/>
        </w:rPr>
        <w:t>/s/ Ori Winitzer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-687070</wp:posOffset>
            </wp:positionH>
            <wp:positionV relativeFrom="paragraph">
              <wp:posOffset>44450</wp:posOffset>
            </wp:positionV>
            <wp:extent cx="2035810"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0">
                      <a:extLst>
                        <a:ext uri="{28A0092B-C50C-407E-A947-70E740481C1C}"/>
                      </a:extLst>
                    </a:blip>
                    <a:srcRect/>
                    <a:stretch>
                      <a:fillRect/>
                    </a:stretch>
                  </pic:blipFill>
                  <pic:spPr bwMode="auto">
                    <a:xfrm>
                      <a:off x="0" y="0"/>
                      <a:ext cx="2035810" cy="6985"/>
                    </a:xfrm>
                    <a:prstGeom prst="rect">
                      <a:avLst/>
                    </a:prstGeom>
                    <a:noFill/>
                  </pic:spPr>
                </pic:pic>
              </a:graphicData>
            </a:graphic>
          </wp:anchor>
        </w:drawing>
      </w:r>
    </w:p>
    <w:p>
      <w:pPr>
        <w:spacing w:after="0" w:line="7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4"/>
          <w:szCs w:val="14"/>
          <w:color w:val="auto"/>
        </w:rPr>
        <w:t>Ori Winitzer</w:t>
      </w:r>
    </w:p>
    <w:p>
      <w:pPr>
        <w:spacing w:after="0" w:line="19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4"/>
          <w:szCs w:val="14"/>
          <w:color w:val="auto"/>
        </w:rPr>
        <w:t>/s/ Janet S.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-687070</wp:posOffset>
            </wp:positionH>
            <wp:positionV relativeFrom="paragraph">
              <wp:posOffset>44450</wp:posOffset>
            </wp:positionV>
            <wp:extent cx="2035810"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1">
                      <a:extLst>
                        <a:ext uri="{28A0092B-C50C-407E-A947-70E740481C1C}"/>
                      </a:extLst>
                    </a:blip>
                    <a:srcRect/>
                    <a:stretch>
                      <a:fillRect/>
                    </a:stretch>
                  </pic:blipFill>
                  <pic:spPr bwMode="auto">
                    <a:xfrm>
                      <a:off x="0" y="0"/>
                      <a:ext cx="2035810" cy="6985"/>
                    </a:xfrm>
                    <a:prstGeom prst="rect">
                      <a:avLst/>
                    </a:prstGeom>
                    <a:noFill/>
                  </pic:spPr>
                </pic:pic>
              </a:graphicData>
            </a:graphic>
          </wp:anchor>
        </w:drawing>
      </w:r>
    </w:p>
    <w:p>
      <w:pPr>
        <w:spacing w:after="0" w:line="7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4"/>
          <w:szCs w:val="14"/>
          <w:color w:val="auto"/>
        </w:rPr>
        <w:t>Janet S. Wong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line="1" w:lineRule="exact"/>
        <w:rPr>
          <w:sz w:val="1"/>
          <w:szCs w:val="1"/>
          <w:color w:val="auto"/>
        </w:rPr>
      </w:pPr>
    </w:p>
    <w:tbl>
      <w:tblPr>
        <w:tblLayout w:type="fixed"/>
        <w:tblInd w:w="80" w:type="dxa"/>
        <w:tblCellMar>
          <w:top w:w="0" w:type="dxa"/>
          <w:left w:w="0" w:type="dxa"/>
          <w:bottom w:w="0" w:type="dxa"/>
          <w:right w:w="0" w:type="dxa"/>
        </w:tblCellMar>
      </w:tblPr>
      <w:tr>
        <w:trPr>
          <w:trHeight w:val="182"/>
        </w:trPr>
        <w:tc>
          <w:tcPr>
            <w:tcW w:w="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3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1"/>
              </w:rPr>
              <w:t>Title</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403"/>
        </w:trPr>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Director</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8"/>
        </w:trPr>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0"/>
        </w:trPr>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Director</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97"/>
        </w:trPr>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0"/>
        </w:trPr>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Director</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97"/>
        </w:trPr>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-2660015</wp:posOffset>
            </wp:positionH>
            <wp:positionV relativeFrom="paragraph">
              <wp:posOffset>203835</wp:posOffset>
            </wp:positionV>
            <wp:extent cx="5479415" cy="393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2">
                      <a:extLst>
                        <a:ext uri="{28A0092B-C50C-407E-A947-70E740481C1C}"/>
                      </a:extLst>
                    </a:blip>
                    <a:srcRect/>
                    <a:stretch>
                      <a:fillRect/>
                    </a:stretch>
                  </pic:blipFill>
                  <pic:spPr bwMode="auto">
                    <a:xfrm>
                      <a:off x="0" y="0"/>
                      <a:ext cx="5479415" cy="39370"/>
                    </a:xfrm>
                    <a:prstGeom prst="rect">
                      <a:avLst/>
                    </a:prstGeom>
                    <a:noFill/>
                  </pic:spPr>
                </pic:pic>
              </a:graphicData>
            </a:graphic>
          </wp:anchor>
        </w:drawing>
      </w:r>
    </w:p>
    <w:p>
      <w:pPr>
        <w:sectPr>
          <w:pgSz w:w="11900" w:h="16838" w:orient="portrait"/>
          <w:cols w:equalWidth="0" w:num="3">
            <w:col w:w="1580" w:space="720"/>
            <w:col w:w="1360" w:space="720"/>
            <w:col w:w="4639"/>
          </w:cols>
          <w:pgMar w:left="1440" w:top="97" w:right="1440"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4"/>
          <w:szCs w:val="14"/>
          <w:u w:val="single" w:color="auto"/>
          <w:color w:val="auto"/>
        </w:rPr>
        <w:t>Exhibit 5.1</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S</w:t>
      </w:r>
      <w:r>
        <w:rPr>
          <w:rFonts w:ascii="Times New Roman" w:cs="Times New Roman" w:eastAsia="Times New Roman" w:hAnsi="Times New Roman"/>
          <w:sz w:val="17"/>
          <w:szCs w:val="17"/>
          <w:color w:val="auto"/>
        </w:rPr>
        <w:t>kadden</w:t>
      </w:r>
      <w:r>
        <w:rPr>
          <w:rFonts w:ascii="Times New Roman" w:cs="Times New Roman" w:eastAsia="Times New Roman" w:hAnsi="Times New Roman"/>
          <w:sz w:val="25"/>
          <w:szCs w:val="25"/>
          <w:color w:val="auto"/>
        </w:rPr>
        <w:t>, A</w:t>
      </w:r>
      <w:r>
        <w:rPr>
          <w:rFonts w:ascii="Times New Roman" w:cs="Times New Roman" w:eastAsia="Times New Roman" w:hAnsi="Times New Roman"/>
          <w:sz w:val="17"/>
          <w:szCs w:val="17"/>
          <w:color w:val="auto"/>
        </w:rPr>
        <w:t>rps</w:t>
      </w:r>
      <w:r>
        <w:rPr>
          <w:rFonts w:ascii="Times New Roman" w:cs="Times New Roman" w:eastAsia="Times New Roman" w:hAnsi="Times New Roman"/>
          <w:sz w:val="25"/>
          <w:szCs w:val="25"/>
          <w:color w:val="auto"/>
        </w:rPr>
        <w:t>, S</w:t>
      </w:r>
      <w:r>
        <w:rPr>
          <w:rFonts w:ascii="Times New Roman" w:cs="Times New Roman" w:eastAsia="Times New Roman" w:hAnsi="Times New Roman"/>
          <w:sz w:val="17"/>
          <w:szCs w:val="17"/>
          <w:color w:val="auto"/>
        </w:rPr>
        <w:t>late</w:t>
      </w:r>
      <w:r>
        <w:rPr>
          <w:rFonts w:ascii="Times New Roman" w:cs="Times New Roman" w:eastAsia="Times New Roman" w:hAnsi="Times New Roman"/>
          <w:sz w:val="25"/>
          <w:szCs w:val="25"/>
          <w:color w:val="auto"/>
        </w:rPr>
        <w:t>, M</w:t>
      </w:r>
      <w:r>
        <w:rPr>
          <w:rFonts w:ascii="Times New Roman" w:cs="Times New Roman" w:eastAsia="Times New Roman" w:hAnsi="Times New Roman"/>
          <w:sz w:val="17"/>
          <w:szCs w:val="17"/>
          <w:color w:val="auto"/>
        </w:rPr>
        <w:t>eagher</w:t>
      </w:r>
      <w:r>
        <w:rPr>
          <w:rFonts w:ascii="Times New Roman" w:cs="Times New Roman" w:eastAsia="Times New Roman" w:hAnsi="Times New Roman"/>
          <w:sz w:val="25"/>
          <w:szCs w:val="25"/>
          <w:color w:val="auto"/>
        </w:rPr>
        <w:t xml:space="preserve"> &amp; F</w:t>
      </w:r>
      <w:r>
        <w:rPr>
          <w:rFonts w:ascii="Times New Roman" w:cs="Times New Roman" w:eastAsia="Times New Roman" w:hAnsi="Times New Roman"/>
          <w:sz w:val="17"/>
          <w:szCs w:val="17"/>
          <w:color w:val="auto"/>
        </w:rPr>
        <w:t>lom llp</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3940" w:type="dxa"/>
            <w:vAlign w:val="bottom"/>
          </w:tcPr>
          <w:p>
            <w:pPr>
              <w:jc w:val="center"/>
              <w:ind w:right="188"/>
              <w:spacing w:after="0"/>
              <w:rPr>
                <w:sz w:val="20"/>
                <w:szCs w:val="20"/>
                <w:color w:val="auto"/>
              </w:rPr>
            </w:pPr>
            <w:r>
              <w:rPr>
                <w:rFonts w:ascii="Times New Roman" w:cs="Times New Roman" w:eastAsia="Times New Roman" w:hAnsi="Times New Roman"/>
                <w:sz w:val="14"/>
                <w:szCs w:val="14"/>
                <w:color w:val="auto"/>
              </w:rPr>
              <w:t>525 UNIVERSITY AVENUE</w:t>
            </w:r>
          </w:p>
        </w:tc>
        <w:tc>
          <w:tcPr>
            <w:tcW w:w="2340" w:type="dxa"/>
            <w:vAlign w:val="bottom"/>
          </w:tcPr>
          <w:p>
            <w:pPr>
              <w:spacing w:after="0"/>
              <w:rPr>
                <w:sz w:val="13"/>
                <w:szCs w:val="13"/>
                <w:color w:val="auto"/>
              </w:rPr>
            </w:pPr>
          </w:p>
        </w:tc>
      </w:tr>
      <w:tr>
        <w:trPr>
          <w:trHeight w:val="173"/>
        </w:trPr>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940" w:type="dxa"/>
            <w:vAlign w:val="bottom"/>
          </w:tcPr>
          <w:p>
            <w:pPr>
              <w:jc w:val="center"/>
              <w:ind w:right="168"/>
              <w:spacing w:after="0"/>
              <w:rPr>
                <w:sz w:val="20"/>
                <w:szCs w:val="20"/>
                <w:color w:val="auto"/>
              </w:rPr>
            </w:pPr>
            <w:r>
              <w:rPr>
                <w:rFonts w:ascii="Times New Roman" w:cs="Times New Roman" w:eastAsia="Times New Roman" w:hAnsi="Times New Roman"/>
                <w:sz w:val="14"/>
                <w:szCs w:val="14"/>
                <w:color w:val="auto"/>
              </w:rPr>
              <w:t>PALO ALTO, CALIFORNIA 94301</w:t>
            </w:r>
          </w:p>
        </w:tc>
        <w:tc>
          <w:tcPr>
            <w:tcW w:w="2340" w:type="dxa"/>
            <w:vAlign w:val="bottom"/>
          </w:tcPr>
          <w:p>
            <w:pPr>
              <w:jc w:val="center"/>
              <w:ind w:left="968"/>
              <w:spacing w:after="0"/>
              <w:rPr>
                <w:sz w:val="20"/>
                <w:szCs w:val="20"/>
                <w:color w:val="auto"/>
              </w:rPr>
            </w:pPr>
            <w:r>
              <w:rPr>
                <w:rFonts w:ascii="Times New Roman" w:cs="Times New Roman" w:eastAsia="Times New Roman" w:hAnsi="Times New Roman"/>
                <w:sz w:val="14"/>
                <w:szCs w:val="14"/>
                <w:color w:val="auto"/>
              </w:rPr>
              <w:t>FIRM/AFFILIATE</w:t>
            </w:r>
          </w:p>
        </w:tc>
      </w:tr>
      <w:tr>
        <w:trPr>
          <w:trHeight w:val="173"/>
        </w:trPr>
        <w:tc>
          <w:tcPr>
            <w:tcW w:w="1620" w:type="dxa"/>
            <w:vAlign w:val="bottom"/>
          </w:tcPr>
          <w:p>
            <w:pPr>
              <w:spacing w:after="0"/>
              <w:rPr>
                <w:sz w:val="15"/>
                <w:szCs w:val="15"/>
                <w:color w:val="auto"/>
              </w:rPr>
            </w:pPr>
          </w:p>
        </w:tc>
        <w:tc>
          <w:tcPr>
            <w:tcW w:w="6120" w:type="dxa"/>
            <w:vAlign w:val="bottom"/>
            <w:gridSpan w:val="3"/>
          </w:tcPr>
          <w:p>
            <w:pPr>
              <w:jc w:val="center"/>
              <w:ind w:left="1868"/>
              <w:spacing w:after="0"/>
              <w:rPr>
                <w:sz w:val="20"/>
                <w:szCs w:val="20"/>
                <w:color w:val="auto"/>
              </w:rPr>
            </w:pPr>
            <w:r>
              <w:rPr>
                <w:rFonts w:ascii="Times New Roman" w:cs="Times New Roman" w:eastAsia="Times New Roman" w:hAnsi="Times New Roman"/>
                <w:sz w:val="14"/>
                <w:szCs w:val="14"/>
                <w:color w:val="auto"/>
              </w:rPr>
              <w:t>________</w:t>
            </w:r>
          </w:p>
        </w:tc>
        <w:tc>
          <w:tcPr>
            <w:tcW w:w="2340" w:type="dxa"/>
            <w:vAlign w:val="bottom"/>
          </w:tcPr>
          <w:p>
            <w:pPr>
              <w:jc w:val="center"/>
              <w:ind w:left="968"/>
              <w:spacing w:after="0"/>
              <w:rPr>
                <w:sz w:val="20"/>
                <w:szCs w:val="20"/>
                <w:color w:val="auto"/>
              </w:rPr>
            </w:pPr>
            <w:r>
              <w:rPr>
                <w:rFonts w:ascii="Times New Roman" w:cs="Times New Roman" w:eastAsia="Times New Roman" w:hAnsi="Times New Roman"/>
                <w:sz w:val="14"/>
                <w:szCs w:val="14"/>
                <w:color w:val="auto"/>
              </w:rPr>
              <w:t>OFFICES</w:t>
            </w:r>
          </w:p>
        </w:tc>
      </w:tr>
      <w:tr>
        <w:trPr>
          <w:trHeight w:val="173"/>
        </w:trPr>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2340" w:type="dxa"/>
            <w:vAlign w:val="bottom"/>
          </w:tcPr>
          <w:p>
            <w:pPr>
              <w:jc w:val="center"/>
              <w:ind w:left="948"/>
              <w:spacing w:after="0"/>
              <w:rPr>
                <w:sz w:val="20"/>
                <w:szCs w:val="20"/>
                <w:color w:val="auto"/>
              </w:rPr>
            </w:pPr>
            <w:r>
              <w:rPr>
                <w:rFonts w:ascii="Times New Roman" w:cs="Times New Roman" w:eastAsia="Times New Roman" w:hAnsi="Times New Roman"/>
                <w:sz w:val="14"/>
                <w:szCs w:val="14"/>
                <w:color w:val="auto"/>
              </w:rPr>
              <w:t>-----------</w:t>
            </w:r>
          </w:p>
        </w:tc>
      </w:tr>
      <w:tr>
        <w:trPr>
          <w:trHeight w:val="173"/>
        </w:trPr>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940" w:type="dxa"/>
            <w:vAlign w:val="bottom"/>
          </w:tcPr>
          <w:p>
            <w:pPr>
              <w:jc w:val="center"/>
              <w:ind w:right="168"/>
              <w:spacing w:after="0"/>
              <w:rPr>
                <w:sz w:val="20"/>
                <w:szCs w:val="20"/>
                <w:color w:val="auto"/>
              </w:rPr>
            </w:pPr>
            <w:r>
              <w:rPr>
                <w:rFonts w:ascii="Times New Roman" w:cs="Times New Roman" w:eastAsia="Times New Roman" w:hAnsi="Times New Roman"/>
                <w:sz w:val="14"/>
                <w:szCs w:val="14"/>
                <w:color w:val="auto"/>
              </w:rPr>
              <w:t>TEL: (650) 470-4500</w:t>
            </w:r>
          </w:p>
        </w:tc>
        <w:tc>
          <w:tcPr>
            <w:tcW w:w="2340" w:type="dxa"/>
            <w:vAlign w:val="bottom"/>
          </w:tcPr>
          <w:p>
            <w:pPr>
              <w:jc w:val="center"/>
              <w:ind w:left="968"/>
              <w:spacing w:after="0"/>
              <w:rPr>
                <w:sz w:val="20"/>
                <w:szCs w:val="20"/>
                <w:color w:val="auto"/>
              </w:rPr>
            </w:pPr>
            <w:r>
              <w:rPr>
                <w:rFonts w:ascii="Times New Roman" w:cs="Times New Roman" w:eastAsia="Times New Roman" w:hAnsi="Times New Roman"/>
                <w:sz w:val="14"/>
                <w:szCs w:val="14"/>
                <w:color w:val="auto"/>
              </w:rPr>
              <w:t>BOSTON</w:t>
            </w:r>
          </w:p>
        </w:tc>
      </w:tr>
      <w:tr>
        <w:trPr>
          <w:trHeight w:val="173"/>
        </w:trPr>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940" w:type="dxa"/>
            <w:vAlign w:val="bottom"/>
          </w:tcPr>
          <w:p>
            <w:pPr>
              <w:jc w:val="center"/>
              <w:ind w:right="168"/>
              <w:spacing w:after="0"/>
              <w:rPr>
                <w:sz w:val="20"/>
                <w:szCs w:val="20"/>
                <w:color w:val="auto"/>
              </w:rPr>
            </w:pPr>
            <w:r>
              <w:rPr>
                <w:rFonts w:ascii="Times New Roman" w:cs="Times New Roman" w:eastAsia="Times New Roman" w:hAnsi="Times New Roman"/>
                <w:sz w:val="14"/>
                <w:szCs w:val="14"/>
                <w:color w:val="auto"/>
              </w:rPr>
              <w:t>FAX: (650) 470-4570</w:t>
            </w:r>
          </w:p>
        </w:tc>
        <w:tc>
          <w:tcPr>
            <w:tcW w:w="2340" w:type="dxa"/>
            <w:vAlign w:val="bottom"/>
          </w:tcPr>
          <w:p>
            <w:pPr>
              <w:jc w:val="center"/>
              <w:ind w:left="968"/>
              <w:spacing w:after="0"/>
              <w:rPr>
                <w:sz w:val="20"/>
                <w:szCs w:val="20"/>
                <w:color w:val="auto"/>
              </w:rPr>
            </w:pPr>
            <w:r>
              <w:rPr>
                <w:rFonts w:ascii="Times New Roman" w:cs="Times New Roman" w:eastAsia="Times New Roman" w:hAnsi="Times New Roman"/>
                <w:sz w:val="14"/>
                <w:szCs w:val="14"/>
                <w:color w:val="auto"/>
              </w:rPr>
              <w:t>CHICAGO</w:t>
            </w:r>
          </w:p>
        </w:tc>
      </w:tr>
      <w:tr>
        <w:trPr>
          <w:trHeight w:val="173"/>
        </w:trPr>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940" w:type="dxa"/>
            <w:vAlign w:val="bottom"/>
          </w:tcPr>
          <w:p>
            <w:pPr>
              <w:jc w:val="center"/>
              <w:ind w:right="168"/>
              <w:spacing w:after="0"/>
              <w:rPr>
                <w:sz w:val="20"/>
                <w:szCs w:val="20"/>
                <w:color w:val="auto"/>
              </w:rPr>
            </w:pPr>
            <w:r>
              <w:rPr>
                <w:rFonts w:ascii="Times New Roman" w:cs="Times New Roman" w:eastAsia="Times New Roman" w:hAnsi="Times New Roman"/>
                <w:sz w:val="14"/>
                <w:szCs w:val="14"/>
                <w:color w:val="auto"/>
              </w:rPr>
              <w:t>www.skadden.com</w:t>
            </w:r>
          </w:p>
        </w:tc>
        <w:tc>
          <w:tcPr>
            <w:tcW w:w="2340" w:type="dxa"/>
            <w:vAlign w:val="bottom"/>
          </w:tcPr>
          <w:p>
            <w:pPr>
              <w:jc w:val="center"/>
              <w:ind w:left="948"/>
              <w:spacing w:after="0"/>
              <w:rPr>
                <w:sz w:val="20"/>
                <w:szCs w:val="20"/>
                <w:color w:val="auto"/>
              </w:rPr>
            </w:pPr>
            <w:r>
              <w:rPr>
                <w:rFonts w:ascii="Times New Roman" w:cs="Times New Roman" w:eastAsia="Times New Roman" w:hAnsi="Times New Roman"/>
                <w:sz w:val="14"/>
                <w:szCs w:val="14"/>
                <w:color w:val="auto"/>
              </w:rPr>
              <w:t>HOUSTON</w:t>
            </w:r>
          </w:p>
        </w:tc>
      </w:tr>
      <w:tr>
        <w:trPr>
          <w:trHeight w:val="173"/>
        </w:trPr>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2340" w:type="dxa"/>
            <w:vAlign w:val="bottom"/>
          </w:tcPr>
          <w:p>
            <w:pPr>
              <w:jc w:val="center"/>
              <w:ind w:left="948"/>
              <w:spacing w:after="0"/>
              <w:rPr>
                <w:sz w:val="20"/>
                <w:szCs w:val="20"/>
                <w:color w:val="auto"/>
              </w:rPr>
            </w:pPr>
            <w:r>
              <w:rPr>
                <w:rFonts w:ascii="Times New Roman" w:cs="Times New Roman" w:eastAsia="Times New Roman" w:hAnsi="Times New Roman"/>
                <w:sz w:val="14"/>
                <w:szCs w:val="14"/>
                <w:color w:val="auto"/>
              </w:rPr>
              <w:t>LOS ANGELES</w:t>
            </w:r>
          </w:p>
        </w:tc>
      </w:tr>
      <w:tr>
        <w:trPr>
          <w:trHeight w:val="173"/>
        </w:trPr>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2340" w:type="dxa"/>
            <w:vAlign w:val="bottom"/>
          </w:tcPr>
          <w:p>
            <w:pPr>
              <w:jc w:val="center"/>
              <w:ind w:left="968"/>
              <w:spacing w:after="0"/>
              <w:rPr>
                <w:sz w:val="20"/>
                <w:szCs w:val="20"/>
                <w:color w:val="auto"/>
              </w:rPr>
            </w:pPr>
            <w:r>
              <w:rPr>
                <w:rFonts w:ascii="Times New Roman" w:cs="Times New Roman" w:eastAsia="Times New Roman" w:hAnsi="Times New Roman"/>
                <w:sz w:val="14"/>
                <w:szCs w:val="14"/>
                <w:color w:val="auto"/>
              </w:rPr>
              <w:t>NEW YORK</w:t>
            </w:r>
          </w:p>
        </w:tc>
      </w:tr>
      <w:tr>
        <w:trPr>
          <w:trHeight w:val="173"/>
        </w:trPr>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2340" w:type="dxa"/>
            <w:vAlign w:val="bottom"/>
          </w:tcPr>
          <w:p>
            <w:pPr>
              <w:jc w:val="center"/>
              <w:ind w:left="968"/>
              <w:spacing w:after="0"/>
              <w:rPr>
                <w:sz w:val="20"/>
                <w:szCs w:val="20"/>
                <w:color w:val="auto"/>
              </w:rPr>
            </w:pPr>
            <w:r>
              <w:rPr>
                <w:rFonts w:ascii="Times New Roman" w:cs="Times New Roman" w:eastAsia="Times New Roman" w:hAnsi="Times New Roman"/>
                <w:sz w:val="14"/>
                <w:szCs w:val="14"/>
                <w:color w:val="auto"/>
              </w:rPr>
              <w:t>WASHINGTON, D.C.</w:t>
            </w:r>
          </w:p>
        </w:tc>
      </w:tr>
      <w:tr>
        <w:trPr>
          <w:trHeight w:val="173"/>
        </w:trPr>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2340" w:type="dxa"/>
            <w:vAlign w:val="bottom"/>
          </w:tcPr>
          <w:p>
            <w:pPr>
              <w:jc w:val="center"/>
              <w:ind w:left="948"/>
              <w:spacing w:after="0"/>
              <w:rPr>
                <w:sz w:val="20"/>
                <w:szCs w:val="20"/>
                <w:color w:val="auto"/>
              </w:rPr>
            </w:pPr>
            <w:r>
              <w:rPr>
                <w:rFonts w:ascii="Times New Roman" w:cs="Times New Roman" w:eastAsia="Times New Roman" w:hAnsi="Times New Roman"/>
                <w:sz w:val="14"/>
                <w:szCs w:val="14"/>
                <w:color w:val="auto"/>
              </w:rPr>
              <w:t>WILMINGTON</w:t>
            </w:r>
          </w:p>
        </w:tc>
      </w:tr>
      <w:tr>
        <w:trPr>
          <w:trHeight w:val="173"/>
        </w:trPr>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2340" w:type="dxa"/>
            <w:vAlign w:val="bottom"/>
          </w:tcPr>
          <w:p>
            <w:pPr>
              <w:jc w:val="center"/>
              <w:ind w:left="948"/>
              <w:spacing w:after="0"/>
              <w:rPr>
                <w:sz w:val="20"/>
                <w:szCs w:val="20"/>
                <w:color w:val="auto"/>
              </w:rPr>
            </w:pPr>
            <w:r>
              <w:rPr>
                <w:rFonts w:ascii="Times New Roman" w:cs="Times New Roman" w:eastAsia="Times New Roman" w:hAnsi="Times New Roman"/>
                <w:sz w:val="14"/>
                <w:szCs w:val="14"/>
                <w:color w:val="auto"/>
              </w:rPr>
              <w:t>-----------</w:t>
            </w:r>
          </w:p>
        </w:tc>
      </w:tr>
      <w:tr>
        <w:trPr>
          <w:trHeight w:val="173"/>
        </w:trPr>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2340" w:type="dxa"/>
            <w:vAlign w:val="bottom"/>
          </w:tcPr>
          <w:p>
            <w:pPr>
              <w:jc w:val="center"/>
              <w:ind w:left="948"/>
              <w:spacing w:after="0"/>
              <w:rPr>
                <w:sz w:val="20"/>
                <w:szCs w:val="20"/>
                <w:color w:val="auto"/>
              </w:rPr>
            </w:pPr>
            <w:r>
              <w:rPr>
                <w:rFonts w:ascii="Times New Roman" w:cs="Times New Roman" w:eastAsia="Times New Roman" w:hAnsi="Times New Roman"/>
                <w:sz w:val="14"/>
                <w:szCs w:val="14"/>
                <w:color w:val="auto"/>
              </w:rPr>
              <w:t>ABU DHABI</w:t>
            </w:r>
          </w:p>
        </w:tc>
      </w:tr>
      <w:tr>
        <w:trPr>
          <w:trHeight w:val="173"/>
        </w:trPr>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2340" w:type="dxa"/>
            <w:vAlign w:val="bottom"/>
          </w:tcPr>
          <w:p>
            <w:pPr>
              <w:jc w:val="center"/>
              <w:ind w:left="968"/>
              <w:spacing w:after="0"/>
              <w:rPr>
                <w:sz w:val="20"/>
                <w:szCs w:val="20"/>
                <w:color w:val="auto"/>
              </w:rPr>
            </w:pPr>
            <w:r>
              <w:rPr>
                <w:rFonts w:ascii="Times New Roman" w:cs="Times New Roman" w:eastAsia="Times New Roman" w:hAnsi="Times New Roman"/>
                <w:sz w:val="14"/>
                <w:szCs w:val="14"/>
                <w:color w:val="auto"/>
              </w:rPr>
              <w:t>BEIJING</w:t>
            </w:r>
          </w:p>
        </w:tc>
      </w:tr>
      <w:tr>
        <w:trPr>
          <w:trHeight w:val="173"/>
        </w:trPr>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2340" w:type="dxa"/>
            <w:vAlign w:val="bottom"/>
          </w:tcPr>
          <w:p>
            <w:pPr>
              <w:jc w:val="center"/>
              <w:ind w:left="948"/>
              <w:spacing w:after="0"/>
              <w:rPr>
                <w:sz w:val="20"/>
                <w:szCs w:val="20"/>
                <w:color w:val="auto"/>
              </w:rPr>
            </w:pPr>
            <w:r>
              <w:rPr>
                <w:rFonts w:ascii="Times New Roman" w:cs="Times New Roman" w:eastAsia="Times New Roman" w:hAnsi="Times New Roman"/>
                <w:sz w:val="14"/>
                <w:szCs w:val="14"/>
                <w:color w:val="auto"/>
              </w:rPr>
              <w:t>BRUSSELS</w:t>
            </w:r>
          </w:p>
        </w:tc>
      </w:tr>
      <w:tr>
        <w:trPr>
          <w:trHeight w:val="173"/>
        </w:trPr>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2340" w:type="dxa"/>
            <w:vAlign w:val="bottom"/>
          </w:tcPr>
          <w:p>
            <w:pPr>
              <w:jc w:val="center"/>
              <w:ind w:left="948"/>
              <w:spacing w:after="0"/>
              <w:rPr>
                <w:sz w:val="20"/>
                <w:szCs w:val="20"/>
                <w:color w:val="auto"/>
              </w:rPr>
            </w:pPr>
            <w:r>
              <w:rPr>
                <w:rFonts w:ascii="Times New Roman" w:cs="Times New Roman" w:eastAsia="Times New Roman" w:hAnsi="Times New Roman"/>
                <w:sz w:val="14"/>
                <w:szCs w:val="14"/>
                <w:color w:val="auto"/>
              </w:rPr>
              <w:t>FRANKFURT</w:t>
            </w:r>
          </w:p>
        </w:tc>
      </w:tr>
      <w:tr>
        <w:trPr>
          <w:trHeight w:val="173"/>
        </w:trPr>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2340" w:type="dxa"/>
            <w:vAlign w:val="bottom"/>
          </w:tcPr>
          <w:p>
            <w:pPr>
              <w:jc w:val="center"/>
              <w:ind w:left="948"/>
              <w:spacing w:after="0"/>
              <w:rPr>
                <w:sz w:val="20"/>
                <w:szCs w:val="20"/>
                <w:color w:val="auto"/>
              </w:rPr>
            </w:pPr>
            <w:r>
              <w:rPr>
                <w:rFonts w:ascii="Times New Roman" w:cs="Times New Roman" w:eastAsia="Times New Roman" w:hAnsi="Times New Roman"/>
                <w:sz w:val="14"/>
                <w:szCs w:val="14"/>
                <w:color w:val="auto"/>
              </w:rPr>
              <w:t>HONG KONG</w:t>
            </w:r>
          </w:p>
        </w:tc>
      </w:tr>
      <w:tr>
        <w:trPr>
          <w:trHeight w:val="173"/>
        </w:trPr>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2340" w:type="dxa"/>
            <w:vAlign w:val="bottom"/>
          </w:tcPr>
          <w:p>
            <w:pPr>
              <w:jc w:val="center"/>
              <w:ind w:left="948"/>
              <w:spacing w:after="0"/>
              <w:rPr>
                <w:sz w:val="20"/>
                <w:szCs w:val="20"/>
                <w:color w:val="auto"/>
              </w:rPr>
            </w:pPr>
            <w:r>
              <w:rPr>
                <w:rFonts w:ascii="Times New Roman" w:cs="Times New Roman" w:eastAsia="Times New Roman" w:hAnsi="Times New Roman"/>
                <w:sz w:val="14"/>
                <w:szCs w:val="14"/>
                <w:color w:val="auto"/>
              </w:rPr>
              <w:t>LONDON</w:t>
            </w:r>
          </w:p>
        </w:tc>
      </w:tr>
      <w:tr>
        <w:trPr>
          <w:trHeight w:val="173"/>
        </w:trPr>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2340" w:type="dxa"/>
            <w:vAlign w:val="bottom"/>
          </w:tcPr>
          <w:p>
            <w:pPr>
              <w:jc w:val="center"/>
              <w:ind w:left="968"/>
              <w:spacing w:after="0"/>
              <w:rPr>
                <w:sz w:val="20"/>
                <w:szCs w:val="20"/>
                <w:color w:val="auto"/>
              </w:rPr>
            </w:pPr>
            <w:r>
              <w:rPr>
                <w:rFonts w:ascii="Times New Roman" w:cs="Times New Roman" w:eastAsia="Times New Roman" w:hAnsi="Times New Roman"/>
                <w:sz w:val="14"/>
                <w:szCs w:val="14"/>
                <w:color w:val="auto"/>
              </w:rPr>
              <w:t>MUNICH</w:t>
            </w:r>
          </w:p>
        </w:tc>
      </w:tr>
      <w:tr>
        <w:trPr>
          <w:trHeight w:val="173"/>
        </w:trPr>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2340" w:type="dxa"/>
            <w:vAlign w:val="bottom"/>
          </w:tcPr>
          <w:p>
            <w:pPr>
              <w:jc w:val="center"/>
              <w:ind w:left="948"/>
              <w:spacing w:after="0"/>
              <w:rPr>
                <w:sz w:val="20"/>
                <w:szCs w:val="20"/>
                <w:color w:val="auto"/>
              </w:rPr>
            </w:pPr>
            <w:r>
              <w:rPr>
                <w:rFonts w:ascii="Times New Roman" w:cs="Times New Roman" w:eastAsia="Times New Roman" w:hAnsi="Times New Roman"/>
                <w:sz w:val="14"/>
                <w:szCs w:val="14"/>
                <w:color w:val="auto"/>
              </w:rPr>
              <w:t>PARIS</w:t>
            </w:r>
          </w:p>
        </w:tc>
      </w:tr>
      <w:tr>
        <w:trPr>
          <w:trHeight w:val="173"/>
        </w:trPr>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2340" w:type="dxa"/>
            <w:vAlign w:val="bottom"/>
          </w:tcPr>
          <w:p>
            <w:pPr>
              <w:jc w:val="center"/>
              <w:ind w:left="948"/>
              <w:spacing w:after="0"/>
              <w:rPr>
                <w:sz w:val="20"/>
                <w:szCs w:val="20"/>
                <w:color w:val="auto"/>
              </w:rPr>
            </w:pPr>
            <w:r>
              <w:rPr>
                <w:rFonts w:ascii="Times New Roman" w:cs="Times New Roman" w:eastAsia="Times New Roman" w:hAnsi="Times New Roman"/>
                <w:sz w:val="14"/>
                <w:szCs w:val="14"/>
                <w:color w:val="auto"/>
              </w:rPr>
              <w:t>SÃO PAULO</w:t>
            </w:r>
          </w:p>
        </w:tc>
      </w:tr>
      <w:tr>
        <w:trPr>
          <w:trHeight w:val="173"/>
        </w:trPr>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2340" w:type="dxa"/>
            <w:vAlign w:val="bottom"/>
          </w:tcPr>
          <w:p>
            <w:pPr>
              <w:jc w:val="center"/>
              <w:ind w:left="968"/>
              <w:spacing w:after="0"/>
              <w:rPr>
                <w:sz w:val="20"/>
                <w:szCs w:val="20"/>
                <w:color w:val="auto"/>
              </w:rPr>
            </w:pPr>
            <w:r>
              <w:rPr>
                <w:rFonts w:ascii="Times New Roman" w:cs="Times New Roman" w:eastAsia="Times New Roman" w:hAnsi="Times New Roman"/>
                <w:sz w:val="14"/>
                <w:szCs w:val="14"/>
                <w:color w:val="auto"/>
              </w:rPr>
              <w:t>SEOUL</w:t>
            </w:r>
          </w:p>
        </w:tc>
      </w:tr>
      <w:tr>
        <w:trPr>
          <w:trHeight w:val="173"/>
        </w:trPr>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2340" w:type="dxa"/>
            <w:vAlign w:val="bottom"/>
          </w:tcPr>
          <w:p>
            <w:pPr>
              <w:jc w:val="center"/>
              <w:ind w:left="948"/>
              <w:spacing w:after="0"/>
              <w:rPr>
                <w:sz w:val="20"/>
                <w:szCs w:val="20"/>
                <w:color w:val="auto"/>
              </w:rPr>
            </w:pPr>
            <w:r>
              <w:rPr>
                <w:rFonts w:ascii="Times New Roman" w:cs="Times New Roman" w:eastAsia="Times New Roman" w:hAnsi="Times New Roman"/>
                <w:sz w:val="14"/>
                <w:szCs w:val="14"/>
                <w:color w:val="auto"/>
              </w:rPr>
              <w:t>SINGAPORE</w:t>
            </w:r>
          </w:p>
        </w:tc>
      </w:tr>
      <w:tr>
        <w:trPr>
          <w:trHeight w:val="173"/>
        </w:trPr>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2340" w:type="dxa"/>
            <w:vAlign w:val="bottom"/>
          </w:tcPr>
          <w:p>
            <w:pPr>
              <w:jc w:val="center"/>
              <w:ind w:left="968"/>
              <w:spacing w:after="0"/>
              <w:rPr>
                <w:sz w:val="20"/>
                <w:szCs w:val="20"/>
                <w:color w:val="auto"/>
              </w:rPr>
            </w:pPr>
            <w:r>
              <w:rPr>
                <w:rFonts w:ascii="Times New Roman" w:cs="Times New Roman" w:eastAsia="Times New Roman" w:hAnsi="Times New Roman"/>
                <w:sz w:val="14"/>
                <w:szCs w:val="14"/>
                <w:color w:val="auto"/>
              </w:rPr>
              <w:t>TOKYO</w:t>
            </w:r>
          </w:p>
        </w:tc>
      </w:tr>
      <w:tr>
        <w:trPr>
          <w:trHeight w:val="189"/>
        </w:trPr>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2340" w:type="dxa"/>
            <w:vAlign w:val="bottom"/>
          </w:tcPr>
          <w:p>
            <w:pPr>
              <w:jc w:val="center"/>
              <w:ind w:left="948"/>
              <w:spacing w:after="0"/>
              <w:rPr>
                <w:sz w:val="20"/>
                <w:szCs w:val="20"/>
                <w:color w:val="auto"/>
              </w:rPr>
            </w:pPr>
            <w:r>
              <w:rPr>
                <w:rFonts w:ascii="Times New Roman" w:cs="Times New Roman" w:eastAsia="Times New Roman" w:hAnsi="Times New Roman"/>
                <w:sz w:val="14"/>
                <w:szCs w:val="14"/>
                <w:color w:val="auto"/>
              </w:rPr>
              <w:t>TORONTO</w:t>
            </w:r>
          </w:p>
        </w:tc>
      </w:tr>
      <w:tr>
        <w:trPr>
          <w:trHeight w:val="347"/>
        </w:trPr>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940" w:type="dxa"/>
            <w:vAlign w:val="bottom"/>
          </w:tcPr>
          <w:p>
            <w:pPr>
              <w:jc w:val="center"/>
              <w:ind w:right="188"/>
              <w:spacing w:after="0"/>
              <w:rPr>
                <w:sz w:val="20"/>
                <w:szCs w:val="20"/>
                <w:color w:val="auto"/>
              </w:rPr>
            </w:pPr>
            <w:r>
              <w:rPr>
                <w:rFonts w:ascii="Times New Roman" w:cs="Times New Roman" w:eastAsia="Times New Roman" w:hAnsi="Times New Roman"/>
                <w:sz w:val="14"/>
                <w:szCs w:val="14"/>
                <w:color w:val="auto"/>
              </w:rPr>
              <w:t>April 14, 2026</w:t>
            </w:r>
          </w:p>
        </w:tc>
        <w:tc>
          <w:tcPr>
            <w:tcW w:w="2340" w:type="dxa"/>
            <w:vAlign w:val="bottom"/>
          </w:tcPr>
          <w:p>
            <w:pPr>
              <w:spacing w:after="0"/>
              <w:rPr>
                <w:sz w:val="24"/>
                <w:szCs w:val="24"/>
                <w:color w:val="auto"/>
              </w:rPr>
            </w:pPr>
          </w:p>
        </w:tc>
      </w:tr>
      <w:tr>
        <w:trPr>
          <w:trHeight w:val="331"/>
        </w:trPr>
        <w:tc>
          <w:tcPr>
            <w:tcW w:w="1620" w:type="dxa"/>
            <w:vAlign w:val="bottom"/>
          </w:tcPr>
          <w:p>
            <w:pPr>
              <w:spacing w:after="0"/>
              <w:rPr>
                <w:sz w:val="20"/>
                <w:szCs w:val="20"/>
                <w:color w:val="auto"/>
              </w:rPr>
            </w:pPr>
            <w:r>
              <w:rPr>
                <w:rFonts w:ascii="Times New Roman" w:cs="Times New Roman" w:eastAsia="Times New Roman" w:hAnsi="Times New Roman"/>
                <w:sz w:val="14"/>
                <w:szCs w:val="14"/>
                <w:color w:val="auto"/>
              </w:rPr>
              <w:t>Lucid Group, Inc.</w:t>
            </w:r>
          </w:p>
        </w:tc>
        <w:tc>
          <w:tcPr>
            <w:tcW w:w="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173"/>
        </w:trPr>
        <w:tc>
          <w:tcPr>
            <w:tcW w:w="1620" w:type="dxa"/>
            <w:vAlign w:val="bottom"/>
          </w:tcPr>
          <w:p>
            <w:pPr>
              <w:spacing w:after="0"/>
              <w:rPr>
                <w:sz w:val="20"/>
                <w:szCs w:val="20"/>
                <w:color w:val="auto"/>
              </w:rPr>
            </w:pPr>
            <w:r>
              <w:rPr>
                <w:rFonts w:ascii="Times New Roman" w:cs="Times New Roman" w:eastAsia="Times New Roman" w:hAnsi="Times New Roman"/>
                <w:sz w:val="14"/>
                <w:szCs w:val="14"/>
                <w:color w:val="auto"/>
              </w:rPr>
              <w:t>7373 Gateway Boulevard</w:t>
            </w:r>
          </w:p>
        </w:tc>
        <w:tc>
          <w:tcPr>
            <w:tcW w:w="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2340" w:type="dxa"/>
            <w:vAlign w:val="bottom"/>
          </w:tcPr>
          <w:p>
            <w:pPr>
              <w:spacing w:after="0"/>
              <w:rPr>
                <w:sz w:val="15"/>
                <w:szCs w:val="15"/>
                <w:color w:val="auto"/>
              </w:rPr>
            </w:pPr>
          </w:p>
        </w:tc>
      </w:tr>
      <w:tr>
        <w:trPr>
          <w:trHeight w:val="189"/>
        </w:trPr>
        <w:tc>
          <w:tcPr>
            <w:tcW w:w="1620" w:type="dxa"/>
            <w:vAlign w:val="bottom"/>
          </w:tcPr>
          <w:p>
            <w:pPr>
              <w:spacing w:after="0"/>
              <w:rPr>
                <w:sz w:val="20"/>
                <w:szCs w:val="20"/>
                <w:color w:val="auto"/>
              </w:rPr>
            </w:pPr>
            <w:r>
              <w:rPr>
                <w:rFonts w:ascii="Times New Roman" w:cs="Times New Roman" w:eastAsia="Times New Roman" w:hAnsi="Times New Roman"/>
                <w:sz w:val="14"/>
                <w:szCs w:val="14"/>
                <w:color w:val="auto"/>
              </w:rPr>
              <w:t>Newark, California 94560</w:t>
            </w:r>
          </w:p>
        </w:tc>
        <w:tc>
          <w:tcPr>
            <w:tcW w:w="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2340" w:type="dxa"/>
            <w:vAlign w:val="bottom"/>
          </w:tcPr>
          <w:p>
            <w:pPr>
              <w:spacing w:after="0"/>
              <w:rPr>
                <w:sz w:val="16"/>
                <w:szCs w:val="16"/>
                <w:color w:val="auto"/>
              </w:rPr>
            </w:pPr>
          </w:p>
        </w:tc>
      </w:tr>
      <w:tr>
        <w:trPr>
          <w:trHeight w:val="331"/>
        </w:trPr>
        <w:tc>
          <w:tcPr>
            <w:tcW w:w="162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Re:</w:t>
            </w:r>
          </w:p>
        </w:tc>
        <w:tc>
          <w:tcPr>
            <w:tcW w:w="61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Lucid Group, Inc.</w:t>
            </w:r>
          </w:p>
        </w:tc>
        <w:tc>
          <w:tcPr>
            <w:tcW w:w="2340" w:type="dxa"/>
            <w:vAlign w:val="bottom"/>
          </w:tcPr>
          <w:p>
            <w:pPr>
              <w:spacing w:after="0"/>
              <w:rPr>
                <w:sz w:val="24"/>
                <w:szCs w:val="24"/>
                <w:color w:val="auto"/>
              </w:rPr>
            </w:pPr>
          </w:p>
        </w:tc>
      </w:tr>
      <w:tr>
        <w:trPr>
          <w:trHeight w:val="155"/>
        </w:trPr>
        <w:tc>
          <w:tcPr>
            <w:tcW w:w="1620" w:type="dxa"/>
            <w:vAlign w:val="bottom"/>
          </w:tcPr>
          <w:p>
            <w:pPr>
              <w:spacing w:after="0"/>
              <w:rPr>
                <w:sz w:val="13"/>
                <w:szCs w:val="13"/>
                <w:color w:val="auto"/>
              </w:rPr>
            </w:pPr>
          </w:p>
        </w:tc>
        <w:tc>
          <w:tcPr>
            <w:tcW w:w="6120" w:type="dxa"/>
            <w:vAlign w:val="bottom"/>
            <w:gridSpan w:val="3"/>
          </w:tcPr>
          <w:p>
            <w:pPr>
              <w:ind w:left="80"/>
              <w:spacing w:after="0" w:line="155" w:lineRule="exact"/>
              <w:rPr>
                <w:sz w:val="20"/>
                <w:szCs w:val="20"/>
                <w:color w:val="auto"/>
              </w:rPr>
            </w:pPr>
            <w:r>
              <w:rPr>
                <w:rFonts w:ascii="Times New Roman" w:cs="Times New Roman" w:eastAsia="Times New Roman" w:hAnsi="Times New Roman"/>
                <w:sz w:val="14"/>
                <w:szCs w:val="14"/>
                <w:color w:val="auto"/>
              </w:rPr>
              <w:t>Registration Statement on Form S-3</w:t>
            </w:r>
          </w:p>
        </w:tc>
        <w:tc>
          <w:tcPr>
            <w:tcW w:w="2340" w:type="dxa"/>
            <w:vAlign w:val="bottom"/>
          </w:tcPr>
          <w:p>
            <w:pPr>
              <w:spacing w:after="0"/>
              <w:rPr>
                <w:sz w:val="13"/>
                <w:szCs w:val="13"/>
                <w:color w:val="auto"/>
              </w:rPr>
            </w:pPr>
          </w:p>
        </w:tc>
      </w:tr>
      <w:tr>
        <w:trPr>
          <w:trHeight w:val="360"/>
        </w:trPr>
        <w:tc>
          <w:tcPr>
            <w:tcW w:w="1620" w:type="dxa"/>
            <w:vAlign w:val="bottom"/>
          </w:tcPr>
          <w:p>
            <w:pPr>
              <w:spacing w:after="0"/>
              <w:rPr>
                <w:sz w:val="20"/>
                <w:szCs w:val="20"/>
                <w:color w:val="auto"/>
              </w:rPr>
            </w:pPr>
            <w:r>
              <w:rPr>
                <w:rFonts w:ascii="Times New Roman" w:cs="Times New Roman" w:eastAsia="Times New Roman" w:hAnsi="Times New Roman"/>
                <w:sz w:val="14"/>
                <w:szCs w:val="14"/>
                <w:color w:val="auto"/>
              </w:rPr>
              <w:t>Ladies and Gentlemen:</w:t>
            </w:r>
          </w:p>
        </w:tc>
        <w:tc>
          <w:tcPr>
            <w:tcW w:w="80" w:type="dxa"/>
            <w:vAlign w:val="bottom"/>
          </w:tcPr>
          <w:p>
            <w:pPr>
              <w:spacing w:after="0"/>
              <w:rPr>
                <w:sz w:val="24"/>
                <w:szCs w:val="24"/>
                <w:color w:val="auto"/>
              </w:rPr>
            </w:pPr>
          </w:p>
        </w:tc>
        <w:tc>
          <w:tcPr>
            <w:tcW w:w="2100" w:type="dxa"/>
            <w:vAlign w:val="bottom"/>
            <w:tcBorders>
              <w:top w:val="single" w:sz="8" w:color="auto"/>
            </w:tcBorders>
          </w:tcPr>
          <w:p>
            <w:pPr>
              <w:spacing w:after="0"/>
              <w:rPr>
                <w:sz w:val="24"/>
                <w:szCs w:val="24"/>
                <w:color w:val="auto"/>
              </w:rPr>
            </w:pPr>
          </w:p>
        </w:tc>
        <w:tc>
          <w:tcPr>
            <w:tcW w:w="3940" w:type="dxa"/>
            <w:vAlign w:val="bottom"/>
          </w:tcPr>
          <w:p>
            <w:pPr>
              <w:spacing w:after="0"/>
              <w:rPr>
                <w:sz w:val="24"/>
                <w:szCs w:val="24"/>
                <w:color w:val="auto"/>
              </w:rPr>
            </w:pPr>
          </w:p>
        </w:tc>
        <w:tc>
          <w:tcPr>
            <w:tcW w:w="2340" w:type="dxa"/>
            <w:vAlign w:val="bottom"/>
          </w:tcPr>
          <w:p>
            <w:pPr>
              <w:spacing w:after="0"/>
              <w:rPr>
                <w:sz w:val="24"/>
                <w:szCs w:val="24"/>
                <w:color w:val="auto"/>
              </w:rPr>
            </w:pPr>
          </w:p>
        </w:tc>
      </w:tr>
    </w:tbl>
    <w:p>
      <w:pPr>
        <w:spacing w:after="0" w:line="158" w:lineRule="exact"/>
        <w:rPr>
          <w:sz w:val="20"/>
          <w:szCs w:val="20"/>
          <w:color w:val="auto"/>
        </w:rPr>
      </w:pPr>
    </w:p>
    <w:p>
      <w:pPr>
        <w:ind w:right="80" w:firstLine="1040"/>
        <w:spacing w:after="0" w:line="270" w:lineRule="auto"/>
        <w:rPr>
          <w:sz w:val="20"/>
          <w:szCs w:val="20"/>
          <w:color w:val="auto"/>
        </w:rPr>
      </w:pPr>
      <w:r>
        <w:rPr>
          <w:rFonts w:ascii="Times New Roman" w:cs="Times New Roman" w:eastAsia="Times New Roman" w:hAnsi="Times New Roman"/>
          <w:sz w:val="14"/>
          <w:szCs w:val="14"/>
          <w:color w:val="auto"/>
        </w:rPr>
        <w:t>We have acted as special United States counsel to Lucid Group, Inc., a Delaware corporation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in connection with the registration statement on Form S-3 (the “</w:t>
      </w:r>
      <w:r>
        <w:rPr>
          <w:rFonts w:ascii="Times New Roman" w:cs="Times New Roman" w:eastAsia="Times New Roman" w:hAnsi="Times New Roman"/>
          <w:sz w:val="14"/>
          <w:szCs w:val="14"/>
          <w:u w:val="single" w:color="auto"/>
          <w:color w:val="auto"/>
        </w:rPr>
        <w:t>Registration Statement</w:t>
      </w:r>
      <w:r>
        <w:rPr>
          <w:rFonts w:ascii="Times New Roman" w:cs="Times New Roman" w:eastAsia="Times New Roman" w:hAnsi="Times New Roman"/>
          <w:sz w:val="14"/>
          <w:szCs w:val="14"/>
          <w:color w:val="auto"/>
        </w:rPr>
        <w:t>”) to be filed on the date hereof by the Company with the Securities and Exchange Commission (the “</w:t>
      </w:r>
      <w:r>
        <w:rPr>
          <w:rFonts w:ascii="Times New Roman" w:cs="Times New Roman" w:eastAsia="Times New Roman" w:hAnsi="Times New Roman"/>
          <w:sz w:val="14"/>
          <w:szCs w:val="14"/>
          <w:u w:val="single" w:color="auto"/>
          <w:color w:val="auto"/>
        </w:rPr>
        <w:t>Commission</w:t>
      </w:r>
      <w:r>
        <w:rPr>
          <w:rFonts w:ascii="Times New Roman" w:cs="Times New Roman" w:eastAsia="Times New Roman" w:hAnsi="Times New Roman"/>
          <w:sz w:val="14"/>
          <w:szCs w:val="14"/>
          <w:color w:val="auto"/>
        </w:rPr>
        <w:t>”) under the Securities Act of 1933 (the “</w:t>
      </w:r>
      <w:r>
        <w:rPr>
          <w:rFonts w:ascii="Times New Roman" w:cs="Times New Roman" w:eastAsia="Times New Roman" w:hAnsi="Times New Roman"/>
          <w:sz w:val="14"/>
          <w:szCs w:val="14"/>
          <w:u w:val="single" w:color="auto"/>
          <w:color w:val="auto"/>
        </w:rPr>
        <w:t>Securities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Act</w:t>
      </w:r>
      <w:r>
        <w:rPr>
          <w:rFonts w:ascii="Times New Roman" w:cs="Times New Roman" w:eastAsia="Times New Roman" w:hAnsi="Times New Roman"/>
          <w:sz w:val="14"/>
          <w:szCs w:val="14"/>
          <w:color w:val="auto"/>
        </w:rPr>
        <w:t>”). The Registration Statement relates to the issuance and sale by the Company from time to time, pursuant to Rule 415 of the General Rules and Regulations of the Commission promulgated under the Securities Act (the “</w:t>
      </w:r>
      <w:r>
        <w:rPr>
          <w:rFonts w:ascii="Times New Roman" w:cs="Times New Roman" w:eastAsia="Times New Roman" w:hAnsi="Times New Roman"/>
          <w:sz w:val="14"/>
          <w:szCs w:val="14"/>
          <w:u w:val="single" w:color="auto"/>
          <w:color w:val="auto"/>
        </w:rPr>
        <w:t>Rules and Regulations</w:t>
      </w:r>
      <w:r>
        <w:rPr>
          <w:rFonts w:ascii="Times New Roman" w:cs="Times New Roman" w:eastAsia="Times New Roman" w:hAnsi="Times New Roman"/>
          <w:sz w:val="14"/>
          <w:szCs w:val="14"/>
          <w:color w:val="auto"/>
        </w:rPr>
        <w:t>”), of shares of common stock, par value $0.0001 per share, of the Company (“</w:t>
      </w:r>
      <w:r>
        <w:rPr>
          <w:rFonts w:ascii="Times New Roman" w:cs="Times New Roman" w:eastAsia="Times New Roman" w:hAnsi="Times New Roman"/>
          <w:sz w:val="14"/>
          <w:szCs w:val="14"/>
          <w:u w:val="single" w:color="auto"/>
          <w:color w:val="auto"/>
        </w:rPr>
        <w:t>Common Stock</w:t>
      </w:r>
      <w:r>
        <w:rPr>
          <w:rFonts w:ascii="Times New Roman" w:cs="Times New Roman" w:eastAsia="Times New Roman" w:hAnsi="Times New Roman"/>
          <w:sz w:val="14"/>
          <w:szCs w:val="14"/>
          <w:color w:val="auto"/>
        </w:rPr>
        <w:t>,” and such shares of common stock, the “</w:t>
      </w:r>
      <w:r>
        <w:rPr>
          <w:rFonts w:ascii="Times New Roman" w:cs="Times New Roman" w:eastAsia="Times New Roman" w:hAnsi="Times New Roman"/>
          <w:sz w:val="14"/>
          <w:szCs w:val="14"/>
          <w:u w:val="single" w:color="auto"/>
          <w:color w:val="auto"/>
        </w:rPr>
        <w:t>Securities</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443230</wp:posOffset>
            </wp:positionV>
            <wp:extent cx="7159625"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3">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color w:val="auto"/>
        </w:rPr>
        <w:t>Lucid Group,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April 14, 2026</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 2</w:t>
      </w:r>
    </w:p>
    <w:p>
      <w:pPr>
        <w:spacing w:after="0" w:line="17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color w:val="auto"/>
        </w:rPr>
        <w:t>This opinion is being furnished in accordance with the requirements of Item 601(b)(5) of Regulation S-K under the Securities Act.</w:t>
      </w:r>
    </w:p>
    <w:p>
      <w:pPr>
        <w:spacing w:after="0" w:line="18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color w:val="auto"/>
        </w:rPr>
        <w:t>In rendering the opinion stated herein, we have examined and relied upon the following:</w:t>
      </w:r>
    </w:p>
    <w:p>
      <w:pPr>
        <w:spacing w:after="0" w:line="18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color w:val="auto"/>
        </w:rPr>
        <w:t>(a)               the Registration Statement;</w:t>
      </w:r>
    </w:p>
    <w:p>
      <w:pPr>
        <w:spacing w:after="0" w:line="18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color w:val="auto"/>
        </w:rPr>
        <w:t>(b)               an executed copy of a certificate of Brian K. Tomkiel, General Counsel and Corporate Secretary of the Company, dated the date hereof (the “</w:t>
      </w:r>
      <w:r>
        <w:rPr>
          <w:rFonts w:ascii="Times New Roman" w:cs="Times New Roman" w:eastAsia="Times New Roman" w:hAnsi="Times New Roman"/>
          <w:sz w:val="14"/>
          <w:szCs w:val="14"/>
          <w:u w:val="single" w:color="auto"/>
          <w:color w:val="auto"/>
        </w:rPr>
        <w:t>Secretary’s Certificate</w:t>
      </w:r>
      <w:r>
        <w:rPr>
          <w:rFonts w:ascii="Times New Roman" w:cs="Times New Roman" w:eastAsia="Times New Roman" w:hAnsi="Times New Roman"/>
          <w:sz w:val="14"/>
          <w:szCs w:val="14"/>
          <w:color w:val="auto"/>
        </w:rPr>
        <w:t>”);</w:t>
      </w:r>
    </w:p>
    <w:p>
      <w:pPr>
        <w:spacing w:after="0" w:line="186" w:lineRule="exact"/>
        <w:rPr>
          <w:sz w:val="20"/>
          <w:szCs w:val="20"/>
          <w:color w:val="auto"/>
        </w:rPr>
      </w:pPr>
    </w:p>
    <w:p>
      <w:pPr>
        <w:ind w:right="100" w:firstLine="1040"/>
        <w:spacing w:after="0" w:line="299" w:lineRule="auto"/>
        <w:rPr>
          <w:sz w:val="20"/>
          <w:szCs w:val="20"/>
          <w:color w:val="auto"/>
        </w:rPr>
      </w:pPr>
      <w:r>
        <w:rPr>
          <w:rFonts w:ascii="Times New Roman" w:cs="Times New Roman" w:eastAsia="Times New Roman" w:hAnsi="Times New Roman"/>
          <w:sz w:val="14"/>
          <w:szCs w:val="14"/>
          <w:color w:val="auto"/>
        </w:rPr>
        <w:t>(c)               a copy of the Company’s Third Amended and Restated Certificate of Incorporation certified by the Secretary of State of the State of Delaware as of April 13, 2026, and certified pursuant to the Secretary’s Certificate as being in effect on the date of the written consent referred to below and as of the date hereof (the “</w:t>
      </w:r>
      <w:r>
        <w:rPr>
          <w:rFonts w:ascii="Times New Roman" w:cs="Times New Roman" w:eastAsia="Times New Roman" w:hAnsi="Times New Roman"/>
          <w:sz w:val="14"/>
          <w:szCs w:val="14"/>
          <w:u w:val="single" w:color="auto"/>
          <w:color w:val="auto"/>
        </w:rPr>
        <w:t>Certificate of Incorporation</w:t>
      </w:r>
      <w:r>
        <w:rPr>
          <w:rFonts w:ascii="Times New Roman" w:cs="Times New Roman" w:eastAsia="Times New Roman" w:hAnsi="Times New Roman"/>
          <w:sz w:val="14"/>
          <w:szCs w:val="14"/>
          <w:color w:val="auto"/>
        </w:rPr>
        <w:t>”);</w:t>
      </w:r>
    </w:p>
    <w:p>
      <w:pPr>
        <w:spacing w:after="0" w:line="119" w:lineRule="exact"/>
        <w:rPr>
          <w:sz w:val="20"/>
          <w:szCs w:val="20"/>
          <w:color w:val="auto"/>
        </w:rPr>
      </w:pPr>
    </w:p>
    <w:p>
      <w:pPr>
        <w:ind w:right="240" w:firstLine="1040"/>
        <w:spacing w:after="0" w:line="299" w:lineRule="auto"/>
        <w:rPr>
          <w:sz w:val="20"/>
          <w:szCs w:val="20"/>
          <w:color w:val="auto"/>
        </w:rPr>
      </w:pPr>
      <w:r>
        <w:rPr>
          <w:rFonts w:ascii="Times New Roman" w:cs="Times New Roman" w:eastAsia="Times New Roman" w:hAnsi="Times New Roman"/>
          <w:sz w:val="14"/>
          <w:szCs w:val="14"/>
          <w:color w:val="auto"/>
        </w:rPr>
        <w:t>(d)               a copy of the Company’s Second Amended and Restated Bylaws, as amended and certified pursuant to the Secretary’s Certificate as being in effect on the date of the written consent referred to below and as of the date hereof (the “</w:t>
      </w:r>
      <w:r>
        <w:rPr>
          <w:rFonts w:ascii="Times New Roman" w:cs="Times New Roman" w:eastAsia="Times New Roman" w:hAnsi="Times New Roman"/>
          <w:sz w:val="14"/>
          <w:szCs w:val="14"/>
          <w:u w:val="single" w:color="auto"/>
          <w:color w:val="auto"/>
        </w:rPr>
        <w:t>Bylaws</w:t>
      </w:r>
      <w:r>
        <w:rPr>
          <w:rFonts w:ascii="Times New Roman" w:cs="Times New Roman" w:eastAsia="Times New Roman" w:hAnsi="Times New Roman"/>
          <w:sz w:val="14"/>
          <w:szCs w:val="14"/>
          <w:color w:val="auto"/>
        </w:rPr>
        <w:t>”); and</w:t>
      </w:r>
    </w:p>
    <w:p>
      <w:pPr>
        <w:spacing w:after="0" w:line="11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color w:val="auto"/>
        </w:rPr>
        <w:t>(e)               a copy of certain resolutions of the Board of Directors of the Company, adopted on April 9, 2026, certified pursuant to the Secretary’s Certificate.</w:t>
      </w:r>
    </w:p>
    <w:p>
      <w:pPr>
        <w:spacing w:after="0" w:line="186" w:lineRule="exact"/>
        <w:rPr>
          <w:sz w:val="20"/>
          <w:szCs w:val="20"/>
          <w:color w:val="auto"/>
        </w:rPr>
      </w:pPr>
    </w:p>
    <w:p>
      <w:pPr>
        <w:jc w:val="both"/>
        <w:ind w:right="60" w:firstLine="1040"/>
        <w:spacing w:after="0" w:line="278" w:lineRule="auto"/>
        <w:rPr>
          <w:sz w:val="20"/>
          <w:szCs w:val="20"/>
          <w:color w:val="auto"/>
        </w:rPr>
      </w:pPr>
      <w:r>
        <w:rPr>
          <w:rFonts w:ascii="Times New Roman" w:cs="Times New Roman" w:eastAsia="Times New Roman" w:hAnsi="Times New Roman"/>
          <w:sz w:val="14"/>
          <w:szCs w:val="14"/>
          <w:color w:val="auto"/>
        </w:rPr>
        <w:t>We have also examined originals or copies, certified or otherwise identified to our satisfaction, of such records of the Company and such agreements, certificates and receipts of public officials, certificates of officers or other representatives of the Company and others, and such other documents as we have deemed necessary or appropriate as a basis for the opinion stated below.</w:t>
      </w:r>
    </w:p>
    <w:p>
      <w:pPr>
        <w:spacing w:after="0" w:line="134" w:lineRule="exact"/>
        <w:rPr>
          <w:sz w:val="20"/>
          <w:szCs w:val="20"/>
          <w:color w:val="auto"/>
        </w:rPr>
      </w:pPr>
    </w:p>
    <w:p>
      <w:pPr>
        <w:ind w:firstLine="1040"/>
        <w:spacing w:after="0" w:line="272" w:lineRule="auto"/>
        <w:rPr>
          <w:sz w:val="20"/>
          <w:szCs w:val="20"/>
          <w:color w:val="auto"/>
        </w:rPr>
      </w:pPr>
      <w:r>
        <w:rPr>
          <w:rFonts w:ascii="Times New Roman" w:cs="Times New Roman" w:eastAsia="Times New Roman" w:hAnsi="Times New Roman"/>
          <w:sz w:val="14"/>
          <w:szCs w:val="14"/>
          <w:color w:val="auto"/>
        </w:rPr>
        <w:t>In our examination, we have assumed the genuineness of all signatures, including electronic signatures, the legal capacity and competency of all natural persons, the authenticity of all documents submitted to us as originals, the conformity to original documents of all documents submitted to us as facsimile, electronic, certified or photocopied copies, and the authenticity of the originals of such copies. As to any facts relevant to the opinion stated herein that we did not independently establish or verify, we have relied upon statements and representations of officers and other representatives of the Company and others and of public officials, including the facts and conclusions set forth in the Secretary’s Certificate and the Certificate of Incorporation.</w:t>
      </w:r>
    </w:p>
    <w:p>
      <w:pPr>
        <w:spacing w:after="0" w:line="137" w:lineRule="exact"/>
        <w:rPr>
          <w:sz w:val="20"/>
          <w:szCs w:val="20"/>
          <w:color w:val="auto"/>
        </w:rPr>
      </w:pPr>
    </w:p>
    <w:p>
      <w:pPr>
        <w:jc w:val="both"/>
        <w:ind w:right="120" w:firstLine="1040"/>
        <w:spacing w:after="0" w:line="278" w:lineRule="auto"/>
        <w:rPr>
          <w:sz w:val="20"/>
          <w:szCs w:val="20"/>
          <w:color w:val="auto"/>
        </w:rPr>
      </w:pPr>
      <w:r>
        <w:rPr>
          <w:rFonts w:ascii="Times New Roman" w:cs="Times New Roman" w:eastAsia="Times New Roman" w:hAnsi="Times New Roman"/>
          <w:sz w:val="14"/>
          <w:szCs w:val="14"/>
          <w:color w:val="auto"/>
        </w:rPr>
        <w:t>We do not express any opinion with respect to the laws of any jurisdiction other than the General Corporation Law of the State of Delaware (the “</w:t>
      </w:r>
      <w:r>
        <w:rPr>
          <w:rFonts w:ascii="Times New Roman" w:cs="Times New Roman" w:eastAsia="Times New Roman" w:hAnsi="Times New Roman"/>
          <w:sz w:val="14"/>
          <w:szCs w:val="14"/>
          <w:u w:val="single" w:color="auto"/>
          <w:color w:val="auto"/>
        </w:rPr>
        <w:t>DGCL</w:t>
      </w:r>
      <w:r>
        <w:rPr>
          <w:rFonts w:ascii="Times New Roman" w:cs="Times New Roman" w:eastAsia="Times New Roman" w:hAnsi="Times New Roman"/>
          <w:sz w:val="14"/>
          <w:szCs w:val="14"/>
          <w:color w:val="auto"/>
        </w:rPr>
        <w:t>”). The Securities may be issued from time to time on a delayed or continuous basis, and this opinion is limited to the laws, including the rules and regulations, as in effect on the date hereof, which laws are subject to change with possible retroactive effect.</w:t>
      </w:r>
    </w:p>
    <w:p>
      <w:pPr>
        <w:spacing w:after="0" w:line="13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color w:val="auto"/>
        </w:rPr>
        <w:t>As used herein, “</w:t>
      </w:r>
      <w:r>
        <w:rPr>
          <w:rFonts w:ascii="Times New Roman" w:cs="Times New Roman" w:eastAsia="Times New Roman" w:hAnsi="Times New Roman"/>
          <w:sz w:val="14"/>
          <w:szCs w:val="14"/>
          <w:u w:val="single" w:color="auto"/>
          <w:color w:val="auto"/>
        </w:rPr>
        <w:t>Transaction Documents</w:t>
      </w:r>
      <w:r>
        <w:rPr>
          <w:rFonts w:ascii="Times New Roman" w:cs="Times New Roman" w:eastAsia="Times New Roman" w:hAnsi="Times New Roman"/>
          <w:sz w:val="14"/>
          <w:szCs w:val="14"/>
          <w:color w:val="auto"/>
        </w:rPr>
        <w:t>” means any applicable underwriting or purchase agreement relating to the issuance and sale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471170</wp:posOffset>
            </wp:positionV>
            <wp:extent cx="7159625"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4">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3"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color w:val="auto"/>
        </w:rPr>
        <w:t>Lucid Group,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April 14, 2026</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 3</w:t>
      </w:r>
    </w:p>
    <w:p>
      <w:pPr>
        <w:spacing w:after="0" w:line="170" w:lineRule="exact"/>
        <w:rPr>
          <w:sz w:val="20"/>
          <w:szCs w:val="20"/>
          <w:color w:val="auto"/>
        </w:rPr>
      </w:pPr>
    </w:p>
    <w:p>
      <w:pPr>
        <w:ind w:firstLine="1040"/>
        <w:spacing w:after="0" w:line="262" w:lineRule="auto"/>
        <w:rPr>
          <w:sz w:val="20"/>
          <w:szCs w:val="20"/>
          <w:color w:val="auto"/>
        </w:rPr>
      </w:pPr>
      <w:r>
        <w:rPr>
          <w:rFonts w:ascii="Times New Roman" w:cs="Times New Roman" w:eastAsia="Times New Roman" w:hAnsi="Times New Roman"/>
          <w:sz w:val="14"/>
          <w:szCs w:val="14"/>
          <w:color w:val="auto"/>
        </w:rPr>
        <w:t>The opinion stated in the paragraph below presumes that all of the following (collectively, the “</w:t>
      </w:r>
      <w:r>
        <w:rPr>
          <w:rFonts w:ascii="Times New Roman" w:cs="Times New Roman" w:eastAsia="Times New Roman" w:hAnsi="Times New Roman"/>
          <w:sz w:val="14"/>
          <w:szCs w:val="14"/>
          <w:u w:val="single" w:color="auto"/>
          <w:color w:val="auto"/>
        </w:rPr>
        <w:t>general conditions</w:t>
      </w:r>
      <w:r>
        <w:rPr>
          <w:rFonts w:ascii="Times New Roman" w:cs="Times New Roman" w:eastAsia="Times New Roman" w:hAnsi="Times New Roman"/>
          <w:sz w:val="14"/>
          <w:szCs w:val="14"/>
          <w:color w:val="auto"/>
        </w:rPr>
        <w:t>”) shall have occurred prior to the issuance of the Securities referred to therein: (i) the Registration Statement, as finally amended (including all necessary post-effective amendments), has become effective under the Securities Act; (ii) an appropriate prospectus supplement or term sheet with respect to such Securities has been prepared, delivered and filed in compliance with the Securities Act and the applicable Rules and Regulations; (iii) the applicable Transaction Documents shall have been duly authorized, executed and delivered by the Company and the other parties thereto, including, if such Securities are to be sold or otherwise distributed pursuant to a firm commitment underwritten offering, the underwriting agreement or purchase agreement with respect thereto; (iv) the Board of Directors of the Company, including any duly authorized committee thereof, shall have taken all necessary corporate action to approve the issuance and sale of such Securities and related matters and appropriate officers of the Company have taken all related action as directed by or under the direction of the Board of Directors of the Company; and (v) the terms of the applicable Transaction Documents and the issuance and sale of such Securities have been duly established in conformity with the Certificate of Incorporation so as not to violate any applicable law, the Certificate of Incorporation or the Bylaws, or result in a default under or breach of any agreement or instrument binding upon the Company or its respective properties, and so as to comply with any requirement or restriction imposed by any court or governmental body having jurisdiction over the Company or its respective properties.</w:t>
      </w:r>
    </w:p>
    <w:p>
      <w:pPr>
        <w:spacing w:after="0" w:line="14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color w:val="auto"/>
        </w:rPr>
        <w:t>Based upon the foregoing and subject to the qualifications and assumptions stated herein, we are of the opinion that:</w:t>
      </w:r>
    </w:p>
    <w:p>
      <w:pPr>
        <w:spacing w:after="0" w:line="186" w:lineRule="exact"/>
        <w:rPr>
          <w:sz w:val="20"/>
          <w:szCs w:val="20"/>
          <w:color w:val="auto"/>
        </w:rPr>
      </w:pPr>
    </w:p>
    <w:p>
      <w:pPr>
        <w:ind w:right="20" w:firstLine="1040"/>
        <w:spacing w:after="0" w:line="266" w:lineRule="auto"/>
        <w:rPr>
          <w:sz w:val="20"/>
          <w:szCs w:val="20"/>
          <w:color w:val="auto"/>
        </w:rPr>
      </w:pPr>
      <w:r>
        <w:rPr>
          <w:rFonts w:ascii="Times New Roman" w:cs="Times New Roman" w:eastAsia="Times New Roman" w:hAnsi="Times New Roman"/>
          <w:sz w:val="14"/>
          <w:szCs w:val="14"/>
          <w:color w:val="auto"/>
        </w:rPr>
        <w:t>With respect to any shares of Common Stock offered by the Company (the “</w:t>
      </w:r>
      <w:r>
        <w:rPr>
          <w:rFonts w:ascii="Times New Roman" w:cs="Times New Roman" w:eastAsia="Times New Roman" w:hAnsi="Times New Roman"/>
          <w:sz w:val="14"/>
          <w:szCs w:val="14"/>
          <w:u w:val="single" w:color="auto"/>
          <w:color w:val="auto"/>
        </w:rPr>
        <w:t>Offered Common Stock</w:t>
      </w:r>
      <w:r>
        <w:rPr>
          <w:rFonts w:ascii="Times New Roman" w:cs="Times New Roman" w:eastAsia="Times New Roman" w:hAnsi="Times New Roman"/>
          <w:sz w:val="14"/>
          <w:szCs w:val="14"/>
          <w:color w:val="auto"/>
        </w:rPr>
        <w:t>”), when (a) the general conditions shall have been satisfied, (b) if the Offered Common Stock is to be certificated, certificates in the form required under the DGCL representing the shares of Offered Common Stock are duly executed and countersigned or, if the Offered Common Stock is to be issued in uncertificated form, a resolution of the Board of Directors has duly authorized the issuance of the Offered Common Stock in uncertificated form and (c) the shares of Offered Common Stock are registered in the Company’s share registry and delivered upon payment of the agreed-upon consideration therefor, the shares of Offered Common Stock, when issued and sold or otherwise distributed in accordance with the provisions of the applicable Transaction Document, will be duly authorized by all requisite corporate action on the part of the Company under the DGCL and validly issued, fully paid and nonassessable, provided that the consideration therefor is not less than $0.0001 per share of Common Stock.</w:t>
      </w:r>
    </w:p>
    <w:p>
      <w:pPr>
        <w:spacing w:after="0" w:line="14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color w:val="auto"/>
        </w:rPr>
        <w:t>The opinion stated herein is subject to the following assumptions and qualifications:</w:t>
      </w:r>
    </w:p>
    <w:p>
      <w:pPr>
        <w:spacing w:after="0" w:line="18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color w:val="auto"/>
        </w:rPr>
        <w:t>(a)               this opinion letter shall be interpreted in accordance with customary practice of United States lawyers who regularly give opinions in transactions of this type; and</w:t>
      </w:r>
    </w:p>
    <w:p>
      <w:pPr>
        <w:spacing w:after="0" w:line="186" w:lineRule="exact"/>
        <w:rPr>
          <w:sz w:val="20"/>
          <w:szCs w:val="20"/>
          <w:color w:val="auto"/>
        </w:rPr>
      </w:pPr>
    </w:p>
    <w:p>
      <w:pPr>
        <w:ind w:right="180" w:firstLine="1040"/>
        <w:spacing w:after="0" w:line="299" w:lineRule="auto"/>
        <w:rPr>
          <w:sz w:val="20"/>
          <w:szCs w:val="20"/>
          <w:color w:val="auto"/>
        </w:rPr>
      </w:pPr>
      <w:r>
        <w:rPr>
          <w:rFonts w:ascii="Times New Roman" w:cs="Times New Roman" w:eastAsia="Times New Roman" w:hAnsi="Times New Roman"/>
          <w:sz w:val="14"/>
          <w:szCs w:val="14"/>
          <w:color w:val="auto"/>
        </w:rPr>
        <w:t>(b)               we have assumed that the laws of the State of New York will be chosen to govern any Transaction Documents entered into subsequent to the date hereof and that such choice is and will be a valid and legal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318770</wp:posOffset>
            </wp:positionV>
            <wp:extent cx="7159625"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5">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3"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color w:val="auto"/>
        </w:rPr>
        <w:t>Lucid Group,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April 14, 2026</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 4</w:t>
      </w:r>
    </w:p>
    <w:p>
      <w:pPr>
        <w:spacing w:after="0" w:line="17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color w:val="auto"/>
        </w:rPr>
        <w:t>In addition, in rendering the foregoing opinion we have also assumed that:</w:t>
      </w:r>
    </w:p>
    <w:p>
      <w:pPr>
        <w:spacing w:after="0" w:line="186" w:lineRule="exact"/>
        <w:rPr>
          <w:sz w:val="20"/>
          <w:szCs w:val="20"/>
          <w:color w:val="auto"/>
        </w:rPr>
      </w:pPr>
    </w:p>
    <w:p>
      <w:pPr>
        <w:ind w:right="100" w:firstLine="1040"/>
        <w:spacing w:after="0" w:line="272" w:lineRule="auto"/>
        <w:rPr>
          <w:sz w:val="20"/>
          <w:szCs w:val="20"/>
          <w:color w:val="auto"/>
        </w:rPr>
      </w:pPr>
      <w:r>
        <w:rPr>
          <w:rFonts w:ascii="Times New Roman" w:cs="Times New Roman" w:eastAsia="Times New Roman" w:hAnsi="Times New Roman"/>
          <w:sz w:val="14"/>
          <w:szCs w:val="14"/>
          <w:color w:val="auto"/>
        </w:rPr>
        <w:t>(a)               neither the execution and delivery by the Company of the Transaction Documents nor the performance by the Company of its obligations thereunder, including the issuance and sale of the applicable Securities: (i) constitutes or will constitute a violation of, or a default under, any lease, indenture, agreement or other instrument to which the Company or its property is subject, (ii) contravenes or will contravene any order or decree of any governmental authority to which the Company or its property is subject, or (iii) violates or will violate any law, rule or regulation to which the Company or its property is subject (except that we do not make the assumption set forth in this clause (iii) with respect to the DGCL); and</w:t>
      </w:r>
    </w:p>
    <w:p>
      <w:pPr>
        <w:spacing w:after="0" w:line="137" w:lineRule="exact"/>
        <w:rPr>
          <w:sz w:val="20"/>
          <w:szCs w:val="20"/>
          <w:color w:val="auto"/>
        </w:rPr>
      </w:pPr>
    </w:p>
    <w:p>
      <w:pPr>
        <w:ind w:right="40" w:firstLine="1040"/>
        <w:spacing w:after="0" w:line="278" w:lineRule="auto"/>
        <w:rPr>
          <w:sz w:val="20"/>
          <w:szCs w:val="20"/>
          <w:color w:val="auto"/>
        </w:rPr>
      </w:pPr>
      <w:r>
        <w:rPr>
          <w:rFonts w:ascii="Times New Roman" w:cs="Times New Roman" w:eastAsia="Times New Roman" w:hAnsi="Times New Roman"/>
          <w:sz w:val="14"/>
          <w:szCs w:val="14"/>
          <w:color w:val="auto"/>
        </w:rPr>
        <w:t>(b)               neither the execution and delivery by the Company of the Transaction Documents nor the performance by the Company of its obligations thereunder, including the issuance and sale of the applicable Securities, requires or will require the consent, approval, licensing or authorization of, or any filing, recording or registration with, any governmental authority under any law, rule or regulation of any jurisdiction.</w:t>
      </w:r>
    </w:p>
    <w:p>
      <w:pPr>
        <w:spacing w:after="0" w:line="134" w:lineRule="exact"/>
        <w:rPr>
          <w:sz w:val="20"/>
          <w:szCs w:val="20"/>
          <w:color w:val="auto"/>
        </w:rPr>
      </w:pPr>
    </w:p>
    <w:p>
      <w:pPr>
        <w:ind w:firstLine="1040"/>
        <w:spacing w:after="0" w:line="272" w:lineRule="auto"/>
        <w:rPr>
          <w:sz w:val="20"/>
          <w:szCs w:val="20"/>
          <w:color w:val="auto"/>
        </w:rPr>
      </w:pPr>
      <w:r>
        <w:rPr>
          <w:rFonts w:ascii="Times New Roman" w:cs="Times New Roman" w:eastAsia="Times New Roman" w:hAnsi="Times New Roman"/>
          <w:sz w:val="14"/>
          <w:szCs w:val="14"/>
          <w:color w:val="auto"/>
        </w:rPr>
        <w:t>We hereby consent to the reference to our firm under the heading “Legal Matters” in the prospectus forming part of the Registration Statement. We also hereby consent to the filing of this opinion letter with the Commission as an exhibit to the Registration Statement. In giving this consent, we do not thereby admit that we are within the category of persons whose consent is required under Section 7 of the Securities Act or the Rules and Regulations. This opinion letter is expressed as of the date hereof unless otherwise expressly stated, and we disclaim any undertaking to advise you of any subsequent changes in the facts stated or assumed herein or of any subsequent changes in applicable laws.</w:t>
      </w:r>
    </w:p>
    <w:p>
      <w:pPr>
        <w:spacing w:after="0" w:line="1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8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/s/ Skadden, Arps, Slate, Meagher &amp; Flom LLP</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BDP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361315</wp:posOffset>
            </wp:positionV>
            <wp:extent cx="7159625"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6">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40"/>
          </w:cols>
          <w:pgMar w:left="300" w:top="753" w:right="35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88" w:lineRule="exact"/>
        <w:rPr>
          <w:sz w:val="20"/>
          <w:szCs w:val="20"/>
          <w:color w:val="auto"/>
        </w:rPr>
      </w:pPr>
    </w:p>
    <w:p>
      <w:pPr>
        <w:ind w:right="180"/>
        <w:spacing w:after="0" w:line="299" w:lineRule="auto"/>
        <w:rPr>
          <w:sz w:val="20"/>
          <w:szCs w:val="20"/>
          <w:color w:val="auto"/>
        </w:rPr>
      </w:pPr>
      <w:r>
        <w:rPr>
          <w:rFonts w:ascii="Times New Roman" w:cs="Times New Roman" w:eastAsia="Times New Roman" w:hAnsi="Times New Roman"/>
          <w:sz w:val="14"/>
          <w:szCs w:val="14"/>
          <w:color w:val="auto"/>
        </w:rPr>
        <w:t>We consent to the use of our report dated February 24, 2026, with respect to the consolidated financial statements of Lucid Group, Inc. and subsidiaries, and the effectiveness of internal control over financial reporting, incorporated herein by reference, and to the reference to our firm under the heading "Experts" in the prospectus.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 KPMG LLP</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Santa Clara, California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April 14,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351155</wp:posOffset>
            </wp:positionV>
            <wp:extent cx="7159625"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7">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310" w:right="319" w:bottom="1440" w:gutter="0" w:footer="0" w:header="0"/>
        </w:sectPr>
      </w:pPr>
    </w:p>
    <w:bookmarkStart w:id="32" w:name="page33"/>
    <w:bookmarkEnd w:id="32"/>
    <w:p>
      <w:pPr>
        <w:spacing w:after="0" w:line="62" w:lineRule="exact"/>
        <w:rPr>
          <w:sz w:val="20"/>
          <w:szCs w:val="20"/>
          <w:color w:val="auto"/>
        </w:rPr>
      </w:pPr>
    </w:p>
    <w:p>
      <w:pPr>
        <w:ind w:left="3420"/>
        <w:spacing w:after="0"/>
        <w:rPr>
          <w:sz w:val="20"/>
          <w:szCs w:val="20"/>
          <w:color w:val="auto"/>
        </w:rPr>
      </w:pPr>
      <w:r>
        <w:rPr>
          <w:rFonts w:ascii="Arial" w:cs="Arial" w:eastAsia="Arial" w:hAnsi="Arial"/>
          <w:sz w:val="29"/>
          <w:szCs w:val="29"/>
          <w:b w:val="1"/>
          <w:bCs w:val="1"/>
          <w:color w:val="auto"/>
        </w:rPr>
        <w:t>Calculation of Filing Fee Tables</w:t>
      </w:r>
    </w:p>
    <w:p>
      <w:pPr>
        <w:spacing w:after="0" w:line="176" w:lineRule="exact"/>
        <w:rPr>
          <w:sz w:val="20"/>
          <w:szCs w:val="20"/>
          <w:color w:val="auto"/>
        </w:rPr>
      </w:pPr>
    </w:p>
    <w:p>
      <w:pPr>
        <w:ind w:left="5340"/>
        <w:spacing w:after="0"/>
        <w:rPr>
          <w:sz w:val="20"/>
          <w:szCs w:val="20"/>
          <w:color w:val="auto"/>
        </w:rPr>
      </w:pPr>
      <w:r>
        <w:rPr>
          <w:rFonts w:ascii="Arial" w:cs="Arial" w:eastAsia="Arial" w:hAnsi="Arial"/>
          <w:sz w:val="29"/>
          <w:szCs w:val="29"/>
          <w:b w:val="1"/>
          <w:bCs w:val="1"/>
          <w:color w:val="auto"/>
        </w:rPr>
        <w:t>S-3</w:t>
      </w:r>
    </w:p>
    <w:p>
      <w:pPr>
        <w:spacing w:after="0" w:line="100" w:lineRule="exact"/>
        <w:rPr>
          <w:sz w:val="20"/>
          <w:szCs w:val="20"/>
          <w:color w:val="auto"/>
        </w:rPr>
      </w:pPr>
    </w:p>
    <w:p>
      <w:pPr>
        <w:jc w:val="center"/>
        <w:ind w:right="220"/>
        <w:spacing w:after="0"/>
        <w:rPr>
          <w:sz w:val="20"/>
          <w:szCs w:val="20"/>
          <w:color w:val="auto"/>
        </w:rPr>
      </w:pPr>
      <w:r>
        <w:rPr>
          <w:rFonts w:ascii="Arial" w:cs="Arial" w:eastAsia="Arial" w:hAnsi="Arial"/>
          <w:sz w:val="29"/>
          <w:szCs w:val="29"/>
          <w:b w:val="1"/>
          <w:bCs w:val="1"/>
          <w:color w:val="auto"/>
        </w:rPr>
        <w:t>Lucid Group, Inc.</w:t>
      </w:r>
    </w:p>
    <w:p>
      <w:pPr>
        <w:spacing w:after="0" w:line="102"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4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gridSpan w:val="14"/>
          </w:tcPr>
          <w:p>
            <w:pPr>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ind w:left="28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200"/>
        </w:trPr>
        <w:tc>
          <w:tcPr>
            <w:tcW w:w="40" w:type="dxa"/>
            <w:vAlign w:val="bottom"/>
            <w:tcBorders>
              <w:left w:val="single" w:sz="8" w:color="auto"/>
            </w:tcBorders>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shd w:val="clear" w:color="auto" w:fill="9ADAF6"/>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Filing Fee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Previously</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vMerge w:val="restart"/>
            <w:shd w:val="clear" w:color="auto" w:fill="9ADAF6"/>
          </w:tcPr>
          <w:p>
            <w:pPr>
              <w:jc w:val="center"/>
              <w:ind w:left="33"/>
              <w:spacing w:after="0"/>
              <w:rPr>
                <w:sz w:val="20"/>
                <w:szCs w:val="20"/>
                <w:color w:val="auto"/>
              </w:rPr>
            </w:pPr>
            <w:r>
              <w:rPr>
                <w:rFonts w:ascii="Arial" w:cs="Arial" w:eastAsia="Arial" w:hAnsi="Arial"/>
                <w:sz w:val="17"/>
                <w:szCs w:val="17"/>
                <w:b w:val="1"/>
                <w:bCs w:val="1"/>
                <w:color w:val="auto"/>
              </w:rPr>
              <w:t>Fee</w:t>
            </w: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Proposed</w:t>
            </w: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Carry</w:t>
            </w: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Paid in</w:t>
            </w: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8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vMerge w:val="continue"/>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Maximum</w:t>
            </w:r>
          </w:p>
        </w:tc>
        <w:tc>
          <w:tcPr>
            <w:tcW w:w="40" w:type="dxa"/>
            <w:vAlign w:val="bottom"/>
          </w:tcPr>
          <w:p>
            <w:pPr>
              <w:spacing w:after="0"/>
              <w:rPr>
                <w:sz w:val="8"/>
                <w:szCs w:val="8"/>
                <w:color w:val="auto"/>
              </w:rPr>
            </w:pPr>
          </w:p>
        </w:tc>
        <w:tc>
          <w:tcPr>
            <w:tcW w:w="8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Carry</w:t>
            </w:r>
          </w:p>
        </w:tc>
        <w:tc>
          <w:tcPr>
            <w:tcW w:w="20" w:type="dxa"/>
            <w:vAlign w:val="bottom"/>
          </w:tcPr>
          <w:p>
            <w:pPr>
              <w:spacing w:after="0"/>
              <w:rPr>
                <w:sz w:val="8"/>
                <w:szCs w:val="8"/>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Carry</w:t>
            </w:r>
          </w:p>
        </w:tc>
        <w:tc>
          <w:tcPr>
            <w:tcW w:w="20" w:type="dxa"/>
            <w:vAlign w:val="bottom"/>
          </w:tcPr>
          <w:p>
            <w:pPr>
              <w:spacing w:after="0"/>
              <w:rPr>
                <w:sz w:val="8"/>
                <w:szCs w:val="8"/>
                <w:color w:val="auto"/>
              </w:rPr>
            </w:pPr>
          </w:p>
        </w:tc>
        <w:tc>
          <w:tcPr>
            <w:tcW w:w="7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Connection</w:t>
            </w:r>
          </w:p>
        </w:tc>
        <w:tc>
          <w:tcPr>
            <w:tcW w:w="0" w:type="dxa"/>
            <w:vAlign w:val="bottom"/>
          </w:tcPr>
          <w:p>
            <w:pPr>
              <w:spacing w:after="0"/>
              <w:rPr>
                <w:sz w:val="1"/>
                <w:szCs w:val="1"/>
                <w:color w:val="auto"/>
              </w:rPr>
            </w:pPr>
          </w:p>
        </w:tc>
      </w:tr>
      <w:tr>
        <w:trPr>
          <w:trHeight w:val="175"/>
        </w:trPr>
        <w:tc>
          <w:tcPr>
            <w:tcW w:w="40" w:type="dxa"/>
            <w:vAlign w:val="bottom"/>
            <w:tcBorders>
              <w:left w:val="single" w:sz="8" w:color="auto"/>
            </w:tcBorders>
          </w:tcPr>
          <w:p>
            <w:pPr>
              <w:spacing w:after="0"/>
              <w:rPr>
                <w:sz w:val="15"/>
                <w:szCs w:val="15"/>
                <w:color w:val="auto"/>
              </w:rPr>
            </w:pPr>
          </w:p>
        </w:tc>
        <w:tc>
          <w:tcPr>
            <w:tcW w:w="8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9ADAF6"/>
          </w:tcPr>
          <w:p>
            <w:pPr>
              <w:ind w:left="20"/>
              <w:spacing w:after="0" w:line="175"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5"/>
                <w:szCs w:val="15"/>
                <w:color w:val="auto"/>
              </w:rPr>
            </w:pPr>
          </w:p>
        </w:tc>
        <w:tc>
          <w:tcPr>
            <w:tcW w:w="980" w:type="dxa"/>
            <w:vAlign w:val="bottom"/>
            <w:gridSpan w:val="2"/>
            <w:shd w:val="clear" w:color="auto" w:fill="9ADAF6"/>
          </w:tcPr>
          <w:p>
            <w:pPr>
              <w:jc w:val="center"/>
              <w:spacing w:after="0" w:line="175" w:lineRule="exact"/>
              <w:rPr>
                <w:sz w:val="20"/>
                <w:szCs w:val="20"/>
                <w:color w:val="auto"/>
              </w:rPr>
            </w:pPr>
            <w:r>
              <w:rPr>
                <w:rFonts w:ascii="Arial" w:cs="Arial" w:eastAsia="Arial" w:hAnsi="Arial"/>
                <w:sz w:val="17"/>
                <w:szCs w:val="17"/>
                <w:b w:val="1"/>
                <w:bCs w:val="1"/>
                <w:color w:val="auto"/>
              </w:rPr>
              <w:t>Calculation</w:t>
            </w:r>
          </w:p>
        </w:tc>
        <w:tc>
          <w:tcPr>
            <w:tcW w:w="20" w:type="dxa"/>
            <w:vAlign w:val="bottom"/>
          </w:tcPr>
          <w:p>
            <w:pPr>
              <w:spacing w:after="0"/>
              <w:rPr>
                <w:sz w:val="15"/>
                <w:szCs w:val="15"/>
                <w:color w:val="auto"/>
              </w:rPr>
            </w:pPr>
          </w:p>
        </w:tc>
        <w:tc>
          <w:tcPr>
            <w:tcW w:w="9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9ADAF6"/>
          </w:tcPr>
          <w:p>
            <w:pPr>
              <w:jc w:val="center"/>
              <w:spacing w:after="0" w:line="175" w:lineRule="exact"/>
              <w:rPr>
                <w:sz w:val="20"/>
                <w:szCs w:val="20"/>
                <w:color w:val="auto"/>
              </w:rPr>
            </w:pPr>
            <w:r>
              <w:rPr>
                <w:rFonts w:ascii="Arial" w:cs="Arial" w:eastAsia="Arial" w:hAnsi="Arial"/>
                <w:sz w:val="17"/>
                <w:szCs w:val="17"/>
                <w:b w:val="1"/>
                <w:bCs w:val="1"/>
                <w:color w:val="auto"/>
              </w:rPr>
              <w:t>Maximum</w:t>
            </w:r>
          </w:p>
        </w:tc>
        <w:tc>
          <w:tcPr>
            <w:tcW w:w="20" w:type="dxa"/>
            <w:vAlign w:val="bottom"/>
          </w:tcPr>
          <w:p>
            <w:pPr>
              <w:spacing w:after="0"/>
              <w:rPr>
                <w:sz w:val="15"/>
                <w:szCs w:val="15"/>
                <w:color w:val="auto"/>
              </w:rPr>
            </w:pPr>
          </w:p>
        </w:tc>
        <w:tc>
          <w:tcPr>
            <w:tcW w:w="880" w:type="dxa"/>
            <w:vAlign w:val="bottom"/>
            <w:vMerge w:val="continue"/>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shd w:val="clear" w:color="auto" w:fill="9ADAF6"/>
          </w:tcPr>
          <w:p>
            <w:pPr>
              <w:jc w:val="right"/>
              <w:spacing w:after="0" w:line="175" w:lineRule="exact"/>
              <w:rPr>
                <w:sz w:val="20"/>
                <w:szCs w:val="20"/>
                <w:color w:val="auto"/>
              </w:rPr>
            </w:pPr>
            <w:r>
              <w:rPr>
                <w:rFonts w:ascii="Arial" w:cs="Arial" w:eastAsia="Arial" w:hAnsi="Arial"/>
                <w:sz w:val="17"/>
                <w:szCs w:val="17"/>
                <w:b w:val="1"/>
                <w:bCs w:val="1"/>
                <w:color w:val="auto"/>
              </w:rPr>
              <w:t>Amount of</w:t>
            </w:r>
          </w:p>
        </w:tc>
        <w:tc>
          <w:tcPr>
            <w:tcW w:w="20" w:type="dxa"/>
            <w:vAlign w:val="bottom"/>
          </w:tcPr>
          <w:p>
            <w:pPr>
              <w:spacing w:after="0"/>
              <w:rPr>
                <w:sz w:val="15"/>
                <w:szCs w:val="15"/>
                <w:color w:val="auto"/>
              </w:rPr>
            </w:pPr>
          </w:p>
        </w:tc>
        <w:tc>
          <w:tcPr>
            <w:tcW w:w="72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jc w:val="center"/>
              <w:spacing w:after="0" w:line="175"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5"/>
                <w:szCs w:val="15"/>
                <w:color w:val="auto"/>
              </w:rPr>
            </w:pPr>
          </w:p>
        </w:tc>
        <w:tc>
          <w:tcPr>
            <w:tcW w:w="1000" w:type="dxa"/>
            <w:vAlign w:val="bottom"/>
            <w:tcBorders>
              <w:right w:val="single" w:sz="8" w:color="auto"/>
            </w:tcBorders>
            <w:vMerge w:val="continue"/>
            <w:shd w:val="clear" w:color="auto" w:fill="9ADAF6"/>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ind w:left="20"/>
              <w:spacing w:after="0"/>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720" w:type="dxa"/>
            <w:vAlign w:val="bottom"/>
            <w:shd w:val="clear" w:color="auto" w:fill="9ADAF6"/>
          </w:tcPr>
          <w:p>
            <w:pPr>
              <w:ind w:left="140"/>
              <w:spacing w:after="0"/>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6"/>
                <w:szCs w:val="16"/>
                <w:color w:val="auto"/>
              </w:rPr>
            </w:pPr>
          </w:p>
        </w:tc>
        <w:tc>
          <w:tcPr>
            <w:tcW w:w="860" w:type="dxa"/>
            <w:vAlign w:val="bottom"/>
            <w:shd w:val="clear" w:color="auto" w:fill="9ADAF6"/>
          </w:tcPr>
          <w:p>
            <w:pPr>
              <w:jc w:val="center"/>
              <w:ind w:left="33"/>
              <w:spacing w:after="0"/>
              <w:rPr>
                <w:sz w:val="20"/>
                <w:szCs w:val="20"/>
                <w:color w:val="auto"/>
              </w:rPr>
            </w:pPr>
            <w:r>
              <w:rPr>
                <w:rFonts w:ascii="Arial" w:cs="Arial" w:eastAsia="Arial" w:hAnsi="Arial"/>
                <w:sz w:val="17"/>
                <w:szCs w:val="17"/>
                <w:b w:val="1"/>
                <w:bCs w:val="1"/>
                <w:color w:val="auto"/>
                <w:w w:val="99"/>
              </w:rPr>
              <w:t>or Carry</w:t>
            </w: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right"/>
              <w:ind w:right="53"/>
              <w:spacing w:after="0"/>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88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Aggregate</w:t>
            </w:r>
          </w:p>
        </w:tc>
        <w:tc>
          <w:tcPr>
            <w:tcW w:w="40" w:type="dxa"/>
            <w:vAlign w:val="bottom"/>
          </w:tcPr>
          <w:p>
            <w:pPr>
              <w:spacing w:after="0"/>
              <w:rPr>
                <w:sz w:val="16"/>
                <w:szCs w:val="16"/>
                <w:color w:val="auto"/>
              </w:rPr>
            </w:pPr>
          </w:p>
        </w:tc>
        <w:tc>
          <w:tcPr>
            <w:tcW w:w="840" w:type="dxa"/>
            <w:vAlign w:val="bottom"/>
            <w:shd w:val="clear" w:color="auto" w:fill="9ADAF6"/>
          </w:tcPr>
          <w:p>
            <w:pPr>
              <w:jc w:val="right"/>
              <w:spacing w:after="0"/>
              <w:rPr>
                <w:sz w:val="20"/>
                <w:szCs w:val="20"/>
                <w:color w:val="auto"/>
              </w:rPr>
            </w:pPr>
            <w:r>
              <w:rPr>
                <w:rFonts w:ascii="Arial" w:cs="Arial" w:eastAsia="Arial" w:hAnsi="Arial"/>
                <w:sz w:val="17"/>
                <w:szCs w:val="17"/>
                <w:b w:val="1"/>
                <w:bCs w:val="1"/>
                <w:color w:val="auto"/>
              </w:rPr>
              <w:t>Fee Rate</w:t>
            </w:r>
          </w:p>
        </w:tc>
        <w:tc>
          <w:tcPr>
            <w:tcW w:w="20" w:type="dxa"/>
            <w:vAlign w:val="bottom"/>
          </w:tcPr>
          <w:p>
            <w:pPr>
              <w:spacing w:after="0"/>
              <w:rPr>
                <w:sz w:val="16"/>
                <w:szCs w:val="16"/>
                <w:color w:val="auto"/>
              </w:rPr>
            </w:pPr>
          </w:p>
        </w:tc>
        <w:tc>
          <w:tcPr>
            <w:tcW w:w="1040" w:type="dxa"/>
            <w:vAlign w:val="bottom"/>
            <w:shd w:val="clear" w:color="auto" w:fill="9ADAF6"/>
          </w:tcPr>
          <w:p>
            <w:pPr>
              <w:jc w:val="right"/>
              <w:spacing w:after="0"/>
              <w:rPr>
                <w:sz w:val="20"/>
                <w:szCs w:val="20"/>
                <w:color w:val="auto"/>
              </w:rPr>
            </w:pPr>
            <w:r>
              <w:rPr>
                <w:rFonts w:ascii="Arial" w:cs="Arial" w:eastAsia="Arial" w:hAnsi="Arial"/>
                <w:sz w:val="17"/>
                <w:szCs w:val="17"/>
                <w:b w:val="1"/>
                <w:bCs w:val="1"/>
                <w:color w:val="auto"/>
              </w:rPr>
              <w:t>Registration</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Initial</w:t>
            </w: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ind w:left="160"/>
              <w:spacing w:after="0"/>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720" w:type="dxa"/>
            <w:vAlign w:val="bottom"/>
            <w:shd w:val="clear" w:color="auto" w:fill="9ADAF6"/>
          </w:tcPr>
          <w:p>
            <w:pPr>
              <w:ind w:left="180"/>
              <w:spacing w:after="0"/>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6"/>
                <w:szCs w:val="16"/>
                <w:color w:val="auto"/>
              </w:rPr>
            </w:pPr>
          </w:p>
        </w:tc>
        <w:tc>
          <w:tcPr>
            <w:tcW w:w="860" w:type="dxa"/>
            <w:vAlign w:val="bottom"/>
            <w:shd w:val="clear" w:color="auto" w:fill="9ADAF6"/>
          </w:tcPr>
          <w:p>
            <w:pPr>
              <w:jc w:val="center"/>
              <w:ind w:left="33"/>
              <w:spacing w:after="0"/>
              <w:rPr>
                <w:sz w:val="20"/>
                <w:szCs w:val="20"/>
                <w:color w:val="auto"/>
              </w:rPr>
            </w:pPr>
            <w:r>
              <w:rPr>
                <w:rFonts w:ascii="Arial" w:cs="Arial" w:eastAsia="Arial" w:hAnsi="Arial"/>
                <w:sz w:val="17"/>
                <w:szCs w:val="17"/>
                <w:b w:val="1"/>
                <w:bCs w:val="1"/>
                <w:color w:val="auto"/>
              </w:rPr>
              <w:t>Forward</w:t>
            </w: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right"/>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Price Per</w:t>
            </w:r>
          </w:p>
        </w:tc>
        <w:tc>
          <w:tcPr>
            <w:tcW w:w="20" w:type="dxa"/>
            <w:vAlign w:val="bottom"/>
          </w:tcPr>
          <w:p>
            <w:pPr>
              <w:spacing w:after="0"/>
              <w:rPr>
                <w:sz w:val="16"/>
                <w:szCs w:val="16"/>
                <w:color w:val="auto"/>
              </w:rPr>
            </w:pPr>
          </w:p>
        </w:tc>
        <w:tc>
          <w:tcPr>
            <w:tcW w:w="88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Offering</w:t>
            </w:r>
          </w:p>
        </w:tc>
        <w:tc>
          <w:tcPr>
            <w:tcW w:w="4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9ADAF6"/>
          </w:tcPr>
          <w:p>
            <w:pPr>
              <w:jc w:val="right"/>
              <w:ind w:right="293"/>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Effective</w:t>
            </w: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0" w:type="dxa"/>
            <w:vAlign w:val="bottom"/>
          </w:tcPr>
          <w:p>
            <w:pPr>
              <w:spacing w:after="0"/>
              <w:rPr>
                <w:sz w:val="1"/>
                <w:szCs w:val="1"/>
                <w:color w:val="auto"/>
              </w:rPr>
            </w:pPr>
          </w:p>
        </w:tc>
      </w:tr>
      <w:tr>
        <w:trPr>
          <w:trHeight w:val="118"/>
        </w:trPr>
        <w:tc>
          <w:tcPr>
            <w:tcW w:w="40" w:type="dxa"/>
            <w:vAlign w:val="bottom"/>
            <w:tcBorders>
              <w:left w:val="single" w:sz="8" w:color="auto"/>
            </w:tcBorders>
          </w:tcPr>
          <w:p>
            <w:pPr>
              <w:spacing w:after="0"/>
              <w:rPr>
                <w:sz w:val="10"/>
                <w:szCs w:val="10"/>
                <w:color w:val="auto"/>
              </w:rPr>
            </w:pPr>
          </w:p>
        </w:tc>
        <w:tc>
          <w:tcPr>
            <w:tcW w:w="8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vMerge w:val="restart"/>
            <w:shd w:val="clear" w:color="auto" w:fill="9ADAF6"/>
          </w:tcPr>
          <w:p>
            <w:pPr>
              <w:jc w:val="center"/>
              <w:ind w:left="33"/>
              <w:spacing w:after="0"/>
              <w:rPr>
                <w:sz w:val="20"/>
                <w:szCs w:val="20"/>
                <w:color w:val="auto"/>
              </w:rPr>
            </w:pPr>
            <w:r>
              <w:rPr>
                <w:rFonts w:ascii="Arial" w:cs="Arial" w:eastAsia="Arial" w:hAnsi="Arial"/>
                <w:sz w:val="17"/>
                <w:szCs w:val="17"/>
                <w:b w:val="1"/>
                <w:bCs w:val="1"/>
                <w:color w:val="auto"/>
              </w:rPr>
              <w:t>Rule</w:t>
            </w:r>
          </w:p>
        </w:tc>
        <w:tc>
          <w:tcPr>
            <w:tcW w:w="1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Unit</w:t>
            </w:r>
          </w:p>
        </w:tc>
        <w:tc>
          <w:tcPr>
            <w:tcW w:w="20" w:type="dxa"/>
            <w:vAlign w:val="bottom"/>
          </w:tcPr>
          <w:p>
            <w:pPr>
              <w:spacing w:after="0"/>
              <w:rPr>
                <w:sz w:val="10"/>
                <w:szCs w:val="10"/>
                <w:color w:val="auto"/>
              </w:rPr>
            </w:pPr>
          </w:p>
        </w:tc>
        <w:tc>
          <w:tcPr>
            <w:tcW w:w="88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Price</w:t>
            </w:r>
          </w:p>
        </w:tc>
        <w:tc>
          <w:tcPr>
            <w:tcW w:w="40" w:type="dxa"/>
            <w:vAlign w:val="bottom"/>
          </w:tcPr>
          <w:p>
            <w:pPr>
              <w:spacing w:after="0"/>
              <w:rPr>
                <w:sz w:val="10"/>
                <w:szCs w:val="10"/>
                <w:color w:val="auto"/>
              </w:rPr>
            </w:pPr>
          </w:p>
        </w:tc>
        <w:tc>
          <w:tcPr>
            <w:tcW w:w="8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2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Number</w:t>
            </w:r>
          </w:p>
        </w:tc>
        <w:tc>
          <w:tcPr>
            <w:tcW w:w="20" w:type="dxa"/>
            <w:vAlign w:val="bottom"/>
          </w:tcPr>
          <w:p>
            <w:pPr>
              <w:spacing w:after="0"/>
              <w:rPr>
                <w:sz w:val="10"/>
                <w:szCs w:val="10"/>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Date</w:t>
            </w:r>
          </w:p>
        </w:tc>
        <w:tc>
          <w:tcPr>
            <w:tcW w:w="20" w:type="dxa"/>
            <w:vAlign w:val="bottom"/>
          </w:tcPr>
          <w:p>
            <w:pPr>
              <w:spacing w:after="0"/>
              <w:rPr>
                <w:sz w:val="10"/>
                <w:szCs w:val="10"/>
                <w:color w:val="auto"/>
              </w:rPr>
            </w:pPr>
          </w:p>
        </w:tc>
        <w:tc>
          <w:tcPr>
            <w:tcW w:w="1000" w:type="dxa"/>
            <w:vAlign w:val="bottom"/>
            <w:tcBorders>
              <w:right w:val="single" w:sz="8" w:color="auto"/>
            </w:tcBorders>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Securities</w:t>
            </w:r>
          </w:p>
        </w:tc>
        <w:tc>
          <w:tcPr>
            <w:tcW w:w="0" w:type="dxa"/>
            <w:vAlign w:val="bottom"/>
          </w:tcPr>
          <w:p>
            <w:pPr>
              <w:spacing w:after="0"/>
              <w:rPr>
                <w:sz w:val="1"/>
                <w:szCs w:val="1"/>
                <w:color w:val="auto"/>
              </w:rPr>
            </w:pPr>
          </w:p>
        </w:tc>
      </w:tr>
      <w:tr>
        <w:trPr>
          <w:trHeight w:val="141"/>
        </w:trPr>
        <w:tc>
          <w:tcPr>
            <w:tcW w:w="40" w:type="dxa"/>
            <w:vAlign w:val="bottom"/>
            <w:tcBorders>
              <w:left w:val="single" w:sz="8" w:color="auto"/>
            </w:tcBorders>
          </w:tcPr>
          <w:p>
            <w:pPr>
              <w:spacing w:after="0"/>
              <w:rPr>
                <w:sz w:val="12"/>
                <w:szCs w:val="12"/>
                <w:color w:val="auto"/>
              </w:rPr>
            </w:pPr>
          </w:p>
        </w:tc>
        <w:tc>
          <w:tcPr>
            <w:tcW w:w="8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vMerge w:val="continue"/>
            <w:shd w:val="clear" w:color="auto" w:fill="9ADAF6"/>
          </w:tcPr>
          <w:p>
            <w:pPr>
              <w:spacing w:after="0"/>
              <w:rPr>
                <w:sz w:val="12"/>
                <w:szCs w:val="12"/>
                <w:color w:val="auto"/>
              </w:rPr>
            </w:pPr>
          </w:p>
        </w:tc>
        <w:tc>
          <w:tcPr>
            <w:tcW w:w="1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to be</w:t>
            </w:r>
          </w:p>
        </w:tc>
        <w:tc>
          <w:tcPr>
            <w:tcW w:w="0" w:type="dxa"/>
            <w:vAlign w:val="bottom"/>
          </w:tcPr>
          <w:p>
            <w:pPr>
              <w:spacing w:after="0"/>
              <w:rPr>
                <w:sz w:val="1"/>
                <w:szCs w:val="1"/>
                <w:color w:val="auto"/>
              </w:rPr>
            </w:pPr>
          </w:p>
        </w:tc>
      </w:tr>
      <w:tr>
        <w:trPr>
          <w:trHeight w:val="54"/>
        </w:trPr>
        <w:tc>
          <w:tcPr>
            <w:tcW w:w="40" w:type="dxa"/>
            <w:vAlign w:val="bottom"/>
            <w:tcBorders>
              <w:left w:val="single" w:sz="8" w:color="auto"/>
            </w:tcBorders>
          </w:tcPr>
          <w:p>
            <w:pPr>
              <w:spacing w:after="0"/>
              <w:rPr>
                <w:sz w:val="4"/>
                <w:szCs w:val="4"/>
                <w:color w:val="auto"/>
              </w:rPr>
            </w:pPr>
          </w:p>
        </w:tc>
        <w:tc>
          <w:tcPr>
            <w:tcW w:w="8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shd w:val="clear" w:color="auto" w:fill="9ADAF6"/>
          </w:tcPr>
          <w:p>
            <w:pPr>
              <w:spacing w:after="0"/>
              <w:rPr>
                <w:sz w:val="4"/>
                <w:szCs w:val="4"/>
                <w:color w:val="auto"/>
              </w:rPr>
            </w:pPr>
          </w:p>
        </w:tc>
        <w:tc>
          <w:tcPr>
            <w:tcW w:w="1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80" w:type="dxa"/>
            <w:vAlign w:val="bottom"/>
            <w:shd w:val="clear" w:color="auto" w:fill="9ADAF6"/>
          </w:tcPr>
          <w:p>
            <w:pPr>
              <w:spacing w:after="0"/>
              <w:rPr>
                <w:sz w:val="4"/>
                <w:szCs w:val="4"/>
                <w:color w:val="auto"/>
              </w:rPr>
            </w:pPr>
          </w:p>
        </w:tc>
        <w:tc>
          <w:tcPr>
            <w:tcW w:w="40" w:type="dxa"/>
            <w:vAlign w:val="bottom"/>
          </w:tcPr>
          <w:p>
            <w:pPr>
              <w:spacing w:after="0"/>
              <w:rPr>
                <w:sz w:val="4"/>
                <w:szCs w:val="4"/>
                <w:color w:val="auto"/>
              </w:rPr>
            </w:pPr>
          </w:p>
        </w:tc>
        <w:tc>
          <w:tcPr>
            <w:tcW w:w="84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04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tcBorders>
              <w:right w:val="single" w:sz="8" w:color="auto"/>
            </w:tcBorders>
            <w:vMerge w:val="continue"/>
            <w:shd w:val="clear" w:color="auto" w:fill="9ADAF6"/>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Carried</w:t>
            </w:r>
          </w:p>
        </w:tc>
        <w:tc>
          <w:tcPr>
            <w:tcW w:w="0" w:type="dxa"/>
            <w:vAlign w:val="bottom"/>
          </w:tcPr>
          <w:p>
            <w:pPr>
              <w:spacing w:after="0"/>
              <w:rPr>
                <w:sz w:val="1"/>
                <w:szCs w:val="1"/>
                <w:color w:val="auto"/>
              </w:rPr>
            </w:pPr>
          </w:p>
        </w:tc>
      </w:tr>
      <w:tr>
        <w:trPr>
          <w:trHeight w:val="229"/>
        </w:trPr>
        <w:tc>
          <w:tcPr>
            <w:tcW w:w="40" w:type="dxa"/>
            <w:vAlign w:val="bottom"/>
            <w:tcBorders>
              <w:left w:val="single" w:sz="8" w:color="auto"/>
            </w:tcBorders>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9ADAF6"/>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60" w:type="dxa"/>
            <w:vAlign w:val="bottom"/>
            <w:gridSpan w:val="7"/>
          </w:tcPr>
          <w:p>
            <w:pPr>
              <w:jc w:val="right"/>
              <w:ind w:right="1173"/>
              <w:spacing w:after="0"/>
              <w:rPr>
                <w:sz w:val="20"/>
                <w:szCs w:val="20"/>
                <w:color w:val="auto"/>
              </w:rPr>
            </w:pPr>
            <w:r>
              <w:rPr>
                <w:rFonts w:ascii="Arial" w:cs="Arial" w:eastAsia="Arial" w:hAnsi="Arial"/>
                <w:sz w:val="17"/>
                <w:szCs w:val="17"/>
                <w:b w:val="1"/>
                <w:bCs w:val="1"/>
                <w:color w:val="auto"/>
              </w:rPr>
              <w:t>Newly Registered Securities</w:t>
            </w: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90" w:lineRule="exact"/>
              <w:rPr>
                <w:sz w:val="20"/>
                <w:szCs w:val="20"/>
                <w:color w:val="auto"/>
              </w:rPr>
            </w:pPr>
            <w:r>
              <w:rPr>
                <w:rFonts w:ascii="Arial" w:cs="Arial" w:eastAsia="Arial" w:hAnsi="Arial"/>
                <w:sz w:val="17"/>
                <w:szCs w:val="17"/>
                <w:color w:val="auto"/>
              </w:rPr>
              <w:t>Class A</w:t>
            </w: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rPr>
                <w:sz w:val="20"/>
                <w:szCs w:val="20"/>
                <w:color w:val="auto"/>
              </w:rPr>
            </w:pPr>
            <w:r>
              <w:rPr>
                <w:rFonts w:ascii="Arial" w:cs="Arial" w:eastAsia="Arial" w:hAnsi="Arial"/>
                <w:sz w:val="17"/>
                <w:szCs w:val="17"/>
                <w:color w:val="auto"/>
                <w:w w:val="98"/>
              </w:rPr>
              <w:t>Common</w:t>
            </w: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E7E7E2"/>
          </w:tcPr>
          <w:p>
            <w:pPr>
              <w:ind w:left="20"/>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16"/>
                <w:szCs w:val="16"/>
                <w:color w:val="auto"/>
              </w:rPr>
            </w:pPr>
          </w:p>
        </w:tc>
        <w:tc>
          <w:tcPr>
            <w:tcW w:w="7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rPr>
                <w:sz w:val="20"/>
                <w:szCs w:val="20"/>
                <w:color w:val="auto"/>
              </w:rPr>
            </w:pPr>
            <w:r>
              <w:rPr>
                <w:rFonts w:ascii="Arial" w:cs="Arial" w:eastAsia="Arial" w:hAnsi="Arial"/>
                <w:sz w:val="17"/>
                <w:szCs w:val="17"/>
                <w:color w:val="auto"/>
              </w:rPr>
              <w:t>par</w:t>
            </w:r>
          </w:p>
        </w:tc>
        <w:tc>
          <w:tcPr>
            <w:tcW w:w="20" w:type="dxa"/>
            <w:vAlign w:val="bottom"/>
          </w:tcPr>
          <w:p>
            <w:pPr>
              <w:spacing w:after="0"/>
              <w:rPr>
                <w:sz w:val="16"/>
                <w:szCs w:val="16"/>
                <w:color w:val="auto"/>
              </w:rPr>
            </w:pPr>
          </w:p>
        </w:tc>
        <w:tc>
          <w:tcPr>
            <w:tcW w:w="860" w:type="dxa"/>
            <w:vAlign w:val="bottom"/>
            <w:vMerge w:val="restart"/>
            <w:shd w:val="clear" w:color="auto" w:fill="E7E7E2"/>
          </w:tcPr>
          <w:p>
            <w:pPr>
              <w:jc w:val="center"/>
              <w:ind w:left="33"/>
              <w:spacing w:after="0"/>
              <w:rPr>
                <w:sz w:val="20"/>
                <w:szCs w:val="20"/>
                <w:color w:val="auto"/>
              </w:rPr>
            </w:pPr>
            <w:r>
              <w:rPr>
                <w:rFonts w:ascii="Arial" w:cs="Arial" w:eastAsia="Arial" w:hAnsi="Arial"/>
                <w:sz w:val="17"/>
                <w:szCs w:val="17"/>
                <w:color w:val="auto"/>
              </w:rPr>
              <w:t>457(r)</w:t>
            </w: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0" w:type="dxa"/>
            <w:vAlign w:val="bottom"/>
            <w:tcBorders>
              <w:left w:val="single" w:sz="8" w:color="auto"/>
            </w:tcBorders>
          </w:tcPr>
          <w:p>
            <w:pPr>
              <w:spacing w:after="0"/>
              <w:rPr>
                <w:sz w:val="11"/>
                <w:szCs w:val="11"/>
                <w:color w:val="auto"/>
              </w:rPr>
            </w:pPr>
          </w:p>
        </w:tc>
        <w:tc>
          <w:tcPr>
            <w:tcW w:w="8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value</w:t>
            </w:r>
          </w:p>
        </w:tc>
        <w:tc>
          <w:tcPr>
            <w:tcW w:w="20" w:type="dxa"/>
            <w:vAlign w:val="bottom"/>
          </w:tcPr>
          <w:p>
            <w:pPr>
              <w:spacing w:after="0"/>
              <w:rPr>
                <w:sz w:val="11"/>
                <w:szCs w:val="11"/>
                <w:color w:val="auto"/>
              </w:rPr>
            </w:pPr>
          </w:p>
        </w:tc>
        <w:tc>
          <w:tcPr>
            <w:tcW w:w="860" w:type="dxa"/>
            <w:vAlign w:val="bottom"/>
            <w:vMerge w:val="continue"/>
            <w:shd w:val="clear" w:color="auto" w:fill="E7E7E2"/>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64"/>
        </w:trPr>
        <w:tc>
          <w:tcPr>
            <w:tcW w:w="40" w:type="dxa"/>
            <w:vAlign w:val="bottom"/>
            <w:tcBorders>
              <w:left w:val="single" w:sz="8" w:color="auto"/>
            </w:tcBorders>
          </w:tcPr>
          <w:p>
            <w:pPr>
              <w:spacing w:after="0"/>
              <w:rPr>
                <w:sz w:val="5"/>
                <w:szCs w:val="5"/>
                <w:color w:val="auto"/>
              </w:rPr>
            </w:pPr>
          </w:p>
        </w:tc>
        <w:tc>
          <w:tcPr>
            <w:tcW w:w="82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shd w:val="clear" w:color="auto" w:fill="E7E7E2"/>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shd w:val="clear" w:color="auto" w:fill="E7E7E2"/>
          </w:tcPr>
          <w:p>
            <w:pPr>
              <w:spacing w:after="0"/>
              <w:rPr>
                <w:sz w:val="5"/>
                <w:szCs w:val="5"/>
                <w:color w:val="auto"/>
              </w:rPr>
            </w:pPr>
          </w:p>
        </w:tc>
        <w:tc>
          <w:tcPr>
            <w:tcW w:w="40" w:type="dxa"/>
            <w:vAlign w:val="bottom"/>
          </w:tcPr>
          <w:p>
            <w:pPr>
              <w:spacing w:after="0"/>
              <w:rPr>
                <w:sz w:val="5"/>
                <w:szCs w:val="5"/>
                <w:color w:val="auto"/>
              </w:rPr>
            </w:pPr>
          </w:p>
        </w:tc>
        <w:tc>
          <w:tcPr>
            <w:tcW w:w="8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00" w:type="dxa"/>
            <w:vAlign w:val="bottom"/>
            <w:tcBorders>
              <w:right w:val="single" w:sz="8" w:color="auto"/>
            </w:tcBorders>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rPr>
                <w:sz w:val="20"/>
                <w:szCs w:val="20"/>
                <w:color w:val="auto"/>
              </w:rPr>
            </w:pPr>
            <w:r>
              <w:rPr>
                <w:rFonts w:ascii="Arial" w:cs="Arial" w:eastAsia="Arial" w:hAnsi="Arial"/>
                <w:sz w:val="17"/>
                <w:szCs w:val="17"/>
                <w:color w:val="auto"/>
              </w:rPr>
              <w:t>$0.0001</w:t>
            </w: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rPr>
                <w:sz w:val="20"/>
                <w:szCs w:val="20"/>
                <w:color w:val="auto"/>
              </w:rPr>
            </w:pPr>
            <w:r>
              <w:rPr>
                <w:rFonts w:ascii="Arial" w:cs="Arial" w:eastAsia="Arial" w:hAnsi="Arial"/>
                <w:sz w:val="17"/>
                <w:szCs w:val="17"/>
                <w:color w:val="auto"/>
              </w:rPr>
              <w:t>per</w:t>
            </w: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ind w:left="20"/>
              <w:spacing w:after="0"/>
              <w:rPr>
                <w:sz w:val="20"/>
                <w:szCs w:val="20"/>
                <w:color w:val="auto"/>
              </w:rPr>
            </w:pPr>
            <w:r>
              <w:rPr>
                <w:rFonts w:ascii="Arial" w:cs="Arial" w:eastAsia="Arial" w:hAnsi="Arial"/>
                <w:sz w:val="17"/>
                <w:szCs w:val="17"/>
                <w:color w:val="auto"/>
              </w:rPr>
              <w:t>share</w:t>
            </w: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E7E7E2"/>
          </w:tcPr>
          <w:p>
            <w:pPr>
              <w:ind w:left="20"/>
              <w:spacing w:after="0" w:line="185"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E7E7E2"/>
          </w:tcPr>
          <w:p>
            <w:pPr>
              <w:ind w:left="20"/>
              <w:spacing w:after="0"/>
              <w:rPr>
                <w:sz w:val="20"/>
                <w:szCs w:val="20"/>
                <w:color w:val="auto"/>
              </w:rPr>
            </w:pPr>
            <w:r>
              <w:rPr>
                <w:rFonts w:ascii="Arial" w:cs="Arial" w:eastAsia="Arial" w:hAnsi="Arial"/>
                <w:sz w:val="17"/>
                <w:szCs w:val="17"/>
                <w:color w:val="auto"/>
                <w:w w:val="99"/>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820" w:type="dxa"/>
            <w:vAlign w:val="bottom"/>
            <w:shd w:val="clear" w:color="auto" w:fill="E7E7E2"/>
          </w:tcPr>
          <w:p>
            <w:pPr>
              <w:ind w:left="20"/>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60" w:type="dxa"/>
            <w:vAlign w:val="bottom"/>
            <w:gridSpan w:val="7"/>
          </w:tcPr>
          <w:p>
            <w:pPr>
              <w:jc w:val="right"/>
              <w:ind w:right="1293"/>
              <w:spacing w:after="0"/>
              <w:rPr>
                <w:sz w:val="20"/>
                <w:szCs w:val="20"/>
                <w:color w:val="auto"/>
              </w:rPr>
            </w:pPr>
            <w:r>
              <w:rPr>
                <w:rFonts w:ascii="Arial" w:cs="Arial" w:eastAsia="Arial" w:hAnsi="Arial"/>
                <w:sz w:val="17"/>
                <w:szCs w:val="17"/>
                <w:b w:val="1"/>
                <w:bCs w:val="1"/>
                <w:color w:val="auto"/>
              </w:rPr>
              <w:t>Carry Forward Securities</w:t>
            </w: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E7E7E2"/>
          </w:tcPr>
          <w:p>
            <w:pPr>
              <w:ind w:left="20"/>
              <w:spacing w:after="0" w:line="190"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E7E7E2"/>
          </w:tcPr>
          <w:p>
            <w:pPr>
              <w:ind w:left="20"/>
              <w:spacing w:after="0"/>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820" w:type="dxa"/>
            <w:vAlign w:val="bottom"/>
            <w:shd w:val="clear" w:color="auto" w:fill="E7E7E2"/>
          </w:tcPr>
          <w:p>
            <w:pPr>
              <w:ind w:left="20"/>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20" w:type="dxa"/>
            <w:vAlign w:val="bottom"/>
            <w:gridSpan w:val="4"/>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1940" w:type="dxa"/>
            <w:vAlign w:val="bottom"/>
            <w:gridSpan w:val="4"/>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0" w:type="dxa"/>
            <w:vAlign w:val="bottom"/>
            <w:tcBorders>
              <w:left w:val="single" w:sz="8" w:color="auto"/>
            </w:tcBorders>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60" w:type="dxa"/>
            <w:vAlign w:val="bottom"/>
            <w:gridSpan w:val="6"/>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940" w:type="dxa"/>
            <w:vAlign w:val="bottom"/>
            <w:gridSpan w:val="4"/>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0" w:type="dxa"/>
            <w:vAlign w:val="bottom"/>
            <w:tcBorders>
              <w:left w:val="single" w:sz="8" w:color="auto"/>
            </w:tcBorders>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20" w:type="dxa"/>
            <w:vAlign w:val="bottom"/>
            <w:gridSpan w:val="4"/>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940" w:type="dxa"/>
            <w:vAlign w:val="bottom"/>
            <w:gridSpan w:val="4"/>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1"/>
          <w:szCs w:val="11"/>
          <w:color w:val="auto"/>
        </w:rPr>
        <w:t>1</w:t>
      </w:r>
    </w:p>
    <w:p>
      <w:pPr>
        <w:spacing w:after="0" w:line="58" w:lineRule="exact"/>
        <w:rPr>
          <w:sz w:val="20"/>
          <w:szCs w:val="20"/>
          <w:color w:val="auto"/>
        </w:rPr>
      </w:pPr>
    </w:p>
    <w:p>
      <w:pPr>
        <w:ind w:left="220" w:right="520"/>
        <w:spacing w:after="0" w:line="280" w:lineRule="auto"/>
        <w:rPr>
          <w:sz w:val="20"/>
          <w:szCs w:val="20"/>
          <w:color w:val="auto"/>
        </w:rPr>
      </w:pPr>
      <w:r>
        <w:rPr>
          <w:rFonts w:ascii="Arial" w:cs="Arial" w:eastAsia="Arial" w:hAnsi="Arial"/>
          <w:sz w:val="17"/>
          <w:szCs w:val="17"/>
          <w:color w:val="auto"/>
        </w:rPr>
        <w:t>1a. Amount Registered, Price Per Unit, and Proposed Maximum Aggregate Offering Price Omitted pursuant to Form S-3 Instructions to the Calculation of Filing Fee Tables and Related Disclosure 2(A)(iii)(c).</w:t>
      </w:r>
    </w:p>
    <w:p>
      <w:pPr>
        <w:spacing w:after="0" w:line="129" w:lineRule="exact"/>
        <w:rPr>
          <w:sz w:val="20"/>
          <w:szCs w:val="20"/>
          <w:color w:val="auto"/>
        </w:rPr>
      </w:pPr>
    </w:p>
    <w:p>
      <w:pPr>
        <w:ind w:left="220" w:right="160"/>
        <w:spacing w:after="0" w:line="244" w:lineRule="auto"/>
        <w:rPr>
          <w:sz w:val="20"/>
          <w:szCs w:val="20"/>
          <w:color w:val="auto"/>
        </w:rPr>
      </w:pPr>
      <w:r>
        <w:rPr>
          <w:rFonts w:ascii="Arial" w:cs="Arial" w:eastAsia="Arial" w:hAnsi="Arial"/>
          <w:sz w:val="17"/>
          <w:szCs w:val="17"/>
          <w:color w:val="auto"/>
        </w:rPr>
        <w:t>1b. An indeterminate aggregate initial offering price, principal amount or number of the securities of each identified class is being registered as may from time to time be issued at indeterminate prices or upon conversion, exchange or exercise of securities registered hereunder to the extent any such securities are, by their terms, convertible into, or exchangeable or exercisable for, such securities, including such securities as may be issued pursuant to anti-dilution adjustments determined at the time of the offering. Securities registered hereunder may be sold either separately or as units comprised of more than one type of security registered hereunder. Separate consideration may or may not be received for securities that are issuable on exercise, conversion or exchange of other securities or that are issued in units. In accordance with Rule 456(b) and Rule 457(r), the registrant is deferring payment of all of the registration fees and will pay any applicable registration fees on a "pay as you go" basis. The registrant will calculate the registration fee applicable to an offer of securities hereunder based on the fee payment rate in effect on the date of such fee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43750" cy="393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8">
                      <a:extLst>
                        <a:ext uri="{28A0092B-C50C-407E-A947-70E740481C1C}"/>
                      </a:extLst>
                    </a:blip>
                    <a:srcRect/>
                    <a:stretch>
                      <a:fillRect/>
                    </a:stretch>
                  </pic:blipFill>
                  <pic:spPr bwMode="auto">
                    <a:xfrm>
                      <a:off x="0" y="0"/>
                      <a:ext cx="7143750" cy="3937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4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10"/>
          </w:tcPr>
          <w:p>
            <w:pPr>
              <w:spacing w:after="0"/>
              <w:rPr>
                <w:sz w:val="20"/>
                <w:szCs w:val="20"/>
                <w:color w:val="auto"/>
              </w:rPr>
            </w:pPr>
            <w:r>
              <w:rPr>
                <w:rFonts w:ascii="Arial" w:cs="Arial" w:eastAsia="Arial" w:hAnsi="Arial"/>
                <w:sz w:val="17"/>
                <w:szCs w:val="17"/>
                <w:b w:val="1"/>
                <w:bCs w:val="1"/>
                <w:color w:val="auto"/>
              </w:rPr>
              <w:t>Table 2: Fee Offset Claims and Sources</w:t>
            </w: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00"/>
              <w:spacing w:after="0" w:line="196" w:lineRule="exact"/>
              <w:rPr>
                <w:sz w:val="20"/>
                <w:szCs w:val="20"/>
                <w:color w:val="auto"/>
              </w:rPr>
            </w:pPr>
            <w:r>
              <w:rPr>
                <w:rFonts w:ascii="MS PGothic" w:cs="MS PGothic" w:eastAsia="MS PGothic" w:hAnsi="MS PGothic"/>
                <w:sz w:val="17"/>
                <w:szCs w:val="17"/>
                <w:color w:val="auto"/>
                <w:highlight w:val="black"/>
                <w:w w:val="99"/>
              </w:rPr>
              <w:t>☑</w:t>
            </w:r>
            <w:r>
              <w:rPr>
                <w:rFonts w:ascii="Arial" w:cs="Arial" w:eastAsia="Arial" w:hAnsi="Arial"/>
                <w:sz w:val="17"/>
                <w:szCs w:val="17"/>
                <w:b w:val="1"/>
                <w:bCs w:val="1"/>
                <w:color w:val="auto"/>
                <w:w w:val="99"/>
              </w:rPr>
              <w:t>Not Applicable</w:t>
            </w:r>
          </w:p>
        </w:tc>
        <w:tc>
          <w:tcPr>
            <w:tcW w:w="0" w:type="dxa"/>
            <w:vAlign w:val="bottom"/>
          </w:tcPr>
          <w:p>
            <w:pPr>
              <w:spacing w:after="0"/>
              <w:rPr>
                <w:sz w:val="1"/>
                <w:szCs w:val="1"/>
                <w:color w:val="auto"/>
              </w:rPr>
            </w:pPr>
          </w:p>
        </w:tc>
      </w:tr>
      <w:tr>
        <w:trPr>
          <w:trHeight w:val="200"/>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5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140" w:type="dxa"/>
            <w:vAlign w:val="bottom"/>
            <w:shd w:val="clear" w:color="auto" w:fill="9ADAF6"/>
          </w:tcPr>
          <w:p>
            <w:pPr>
              <w:spacing w:after="0"/>
              <w:rPr>
                <w:sz w:val="17"/>
                <w:szCs w:val="17"/>
                <w:color w:val="auto"/>
              </w:rPr>
            </w:pPr>
          </w:p>
        </w:tc>
        <w:tc>
          <w:tcPr>
            <w:tcW w:w="80" w:type="dxa"/>
            <w:vAlign w:val="bottom"/>
            <w:tcBorders>
              <w:right w:val="single" w:sz="8" w:color="9ADAF6"/>
            </w:tcBorders>
          </w:tcPr>
          <w:p>
            <w:pPr>
              <w:spacing w:after="0"/>
              <w:rPr>
                <w:sz w:val="17"/>
                <w:szCs w:val="17"/>
                <w:color w:val="auto"/>
              </w:rPr>
            </w:pPr>
          </w:p>
        </w:tc>
        <w:tc>
          <w:tcPr>
            <w:tcW w:w="5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80" w:type="dxa"/>
            <w:vAlign w:val="bottom"/>
            <w:tcBorders>
              <w:right w:val="single" w:sz="8" w:color="9ADAF6"/>
            </w:tcBorders>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shd w:val="clear" w:color="auto" w:fill="9ADAF6"/>
          </w:tcPr>
          <w:p>
            <w:pPr>
              <w:spacing w:after="0"/>
              <w:rPr>
                <w:sz w:val="17"/>
                <w:szCs w:val="17"/>
                <w:color w:val="auto"/>
              </w:rPr>
            </w:pPr>
          </w:p>
        </w:tc>
        <w:tc>
          <w:tcPr>
            <w:tcW w:w="80" w:type="dxa"/>
            <w:vAlign w:val="bottom"/>
            <w:tcBorders>
              <w:right w:val="single" w:sz="8" w:color="9ADAF6"/>
            </w:tcBorders>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7"/>
                <w:szCs w:val="17"/>
                <w:color w:val="auto"/>
              </w:rPr>
            </w:pPr>
          </w:p>
        </w:tc>
        <w:tc>
          <w:tcPr>
            <w:tcW w:w="640" w:type="dxa"/>
            <w:vAlign w:val="bottom"/>
            <w:shd w:val="clear" w:color="auto" w:fill="9ADAF6"/>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14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8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Security</w:t>
            </w:r>
          </w:p>
        </w:tc>
        <w:tc>
          <w:tcPr>
            <w:tcW w:w="40" w:type="dxa"/>
            <w:vAlign w:val="bottom"/>
          </w:tcPr>
          <w:p>
            <w:pPr>
              <w:spacing w:after="0"/>
              <w:rPr>
                <w:sz w:val="16"/>
                <w:szCs w:val="16"/>
                <w:color w:val="auto"/>
              </w:rPr>
            </w:pPr>
          </w:p>
        </w:tc>
        <w:tc>
          <w:tcPr>
            <w:tcW w:w="940" w:type="dxa"/>
            <w:vAlign w:val="bottom"/>
            <w:tcBorders>
              <w:right w:val="single" w:sz="8" w:color="9ADAF6"/>
            </w:tcBorders>
            <w:gridSpan w:val="2"/>
            <w:shd w:val="clear" w:color="auto" w:fill="9ADAF6"/>
          </w:tcPr>
          <w:p>
            <w:pPr>
              <w:jc w:val="center"/>
              <w:ind w:right="20"/>
              <w:spacing w:after="0"/>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Aggregate</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14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5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Borders>
              <w:right w:val="single" w:sz="8" w:color="9ADAF6"/>
            </w:tcBorders>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Type</w:t>
            </w:r>
          </w:p>
        </w:tc>
        <w:tc>
          <w:tcPr>
            <w:tcW w:w="40" w:type="dxa"/>
            <w:vAlign w:val="bottom"/>
          </w:tcPr>
          <w:p>
            <w:pPr>
              <w:spacing w:after="0"/>
              <w:rPr>
                <w:sz w:val="16"/>
                <w:szCs w:val="16"/>
                <w:color w:val="auto"/>
              </w:rPr>
            </w:pPr>
          </w:p>
        </w:tc>
        <w:tc>
          <w:tcPr>
            <w:tcW w:w="940" w:type="dxa"/>
            <w:vAlign w:val="bottom"/>
            <w:tcBorders>
              <w:right w:val="single" w:sz="8" w:color="9ADAF6"/>
            </w:tcBorders>
            <w:gridSpan w:val="2"/>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Securities</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Paid</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0" w:type="dxa"/>
            <w:vAlign w:val="bottom"/>
            <w:tcBorders>
              <w:left w:val="single" w:sz="8" w:color="auto"/>
            </w:tcBorders>
          </w:tcPr>
          <w:p>
            <w:pPr>
              <w:spacing w:after="0"/>
              <w:rPr>
                <w:sz w:val="15"/>
                <w:szCs w:val="15"/>
                <w:color w:val="auto"/>
              </w:rPr>
            </w:pPr>
          </w:p>
        </w:tc>
        <w:tc>
          <w:tcPr>
            <w:tcW w:w="4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520" w:type="dxa"/>
            <w:vAlign w:val="bottom"/>
            <w:gridSpan w:val="3"/>
            <w:shd w:val="clear" w:color="auto" w:fill="9ADAF6"/>
          </w:tcPr>
          <w:p>
            <w:pPr>
              <w:jc w:val="center"/>
              <w:spacing w:after="0" w:line="175" w:lineRule="exact"/>
              <w:rPr>
                <w:sz w:val="20"/>
                <w:szCs w:val="20"/>
                <w:color w:val="auto"/>
              </w:rPr>
            </w:pPr>
            <w:r>
              <w:rPr>
                <w:rFonts w:ascii="Arial" w:cs="Arial" w:eastAsia="Arial" w:hAnsi="Arial"/>
                <w:sz w:val="17"/>
                <w:szCs w:val="17"/>
                <w:b w:val="1"/>
                <w:bCs w:val="1"/>
                <w:color w:val="auto"/>
              </w:rPr>
              <w:t>Registrant or Filer</w:t>
            </w:r>
          </w:p>
        </w:tc>
        <w:tc>
          <w:tcPr>
            <w:tcW w:w="80" w:type="dxa"/>
            <w:vAlign w:val="bottom"/>
            <w:tcBorders>
              <w:right w:val="single" w:sz="8" w:color="9ADAF6"/>
            </w:tcBorders>
          </w:tcPr>
          <w:p>
            <w:pPr>
              <w:spacing w:after="0"/>
              <w:rPr>
                <w:sz w:val="15"/>
                <w:szCs w:val="15"/>
                <w:color w:val="auto"/>
              </w:rPr>
            </w:pPr>
          </w:p>
        </w:tc>
        <w:tc>
          <w:tcPr>
            <w:tcW w:w="560" w:type="dxa"/>
            <w:vAlign w:val="bottom"/>
            <w:shd w:val="clear" w:color="auto" w:fill="9ADAF6"/>
          </w:tcPr>
          <w:p>
            <w:pPr>
              <w:jc w:val="center"/>
              <w:spacing w:after="0" w:line="175" w:lineRule="exact"/>
              <w:rPr>
                <w:sz w:val="20"/>
                <w:szCs w:val="20"/>
                <w:color w:val="auto"/>
              </w:rPr>
            </w:pPr>
            <w:r>
              <w:rPr>
                <w:rFonts w:ascii="Arial" w:cs="Arial" w:eastAsia="Arial" w:hAnsi="Arial"/>
                <w:sz w:val="17"/>
                <w:szCs w:val="17"/>
                <w:b w:val="1"/>
                <w:bCs w:val="1"/>
                <w:color w:val="auto"/>
              </w:rPr>
              <w:t>or</w:t>
            </w:r>
          </w:p>
        </w:tc>
        <w:tc>
          <w:tcPr>
            <w:tcW w:w="20" w:type="dxa"/>
            <w:vAlign w:val="bottom"/>
          </w:tcPr>
          <w:p>
            <w:pPr>
              <w:spacing w:after="0"/>
              <w:rPr>
                <w:sz w:val="15"/>
                <w:szCs w:val="15"/>
                <w:color w:val="auto"/>
              </w:rPr>
            </w:pPr>
          </w:p>
        </w:tc>
        <w:tc>
          <w:tcPr>
            <w:tcW w:w="760" w:type="dxa"/>
            <w:vAlign w:val="bottom"/>
            <w:shd w:val="clear" w:color="auto" w:fill="9ADAF6"/>
          </w:tcPr>
          <w:p>
            <w:pPr>
              <w:jc w:val="center"/>
              <w:spacing w:after="0" w:line="175" w:lineRule="exact"/>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15"/>
                <w:szCs w:val="15"/>
                <w:color w:val="auto"/>
              </w:rPr>
            </w:pPr>
          </w:p>
        </w:tc>
        <w:tc>
          <w:tcPr>
            <w:tcW w:w="620" w:type="dxa"/>
            <w:vAlign w:val="bottom"/>
            <w:tcBorders>
              <w:right w:val="single" w:sz="8" w:color="9ADAF6"/>
            </w:tcBorders>
            <w:gridSpan w:val="3"/>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shd w:val="clear" w:color="auto" w:fill="9ADAF6"/>
          </w:tcPr>
          <w:p>
            <w:pPr>
              <w:jc w:val="center"/>
              <w:spacing w:after="0" w:line="175" w:lineRule="exact"/>
              <w:rPr>
                <w:sz w:val="20"/>
                <w:szCs w:val="20"/>
                <w:color w:val="auto"/>
              </w:rPr>
            </w:pPr>
            <w:r>
              <w:rPr>
                <w:rFonts w:ascii="Arial" w:cs="Arial" w:eastAsia="Arial" w:hAnsi="Arial"/>
                <w:sz w:val="17"/>
                <w:szCs w:val="17"/>
                <w:b w:val="1"/>
                <w:bCs w:val="1"/>
                <w:color w:val="auto"/>
              </w:rPr>
              <w:t>Filing</w:t>
            </w:r>
          </w:p>
        </w:tc>
        <w:tc>
          <w:tcPr>
            <w:tcW w:w="40" w:type="dxa"/>
            <w:vAlign w:val="bottom"/>
          </w:tcPr>
          <w:p>
            <w:pPr>
              <w:spacing w:after="0"/>
              <w:rPr>
                <w:sz w:val="15"/>
                <w:szCs w:val="15"/>
                <w:color w:val="auto"/>
              </w:rPr>
            </w:pPr>
          </w:p>
        </w:tc>
        <w:tc>
          <w:tcPr>
            <w:tcW w:w="700" w:type="dxa"/>
            <w:vAlign w:val="bottom"/>
            <w:gridSpan w:val="3"/>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9ADAF6"/>
          </w:tcPr>
          <w:p>
            <w:pPr>
              <w:jc w:val="center"/>
              <w:spacing w:after="0" w:line="175" w:lineRule="exact"/>
              <w:rPr>
                <w:sz w:val="20"/>
                <w:szCs w:val="20"/>
                <w:color w:val="auto"/>
              </w:rPr>
            </w:pPr>
            <w:r>
              <w:rPr>
                <w:rFonts w:ascii="Arial" w:cs="Arial" w:eastAsia="Arial" w:hAnsi="Arial"/>
                <w:sz w:val="17"/>
                <w:szCs w:val="17"/>
                <w:b w:val="1"/>
                <w:bCs w:val="1"/>
                <w:color w:val="auto"/>
              </w:rPr>
              <w:t>Associated</w:t>
            </w:r>
          </w:p>
        </w:tc>
        <w:tc>
          <w:tcPr>
            <w:tcW w:w="40" w:type="dxa"/>
            <w:vAlign w:val="bottom"/>
          </w:tcPr>
          <w:p>
            <w:pPr>
              <w:spacing w:after="0"/>
              <w:rPr>
                <w:sz w:val="15"/>
                <w:szCs w:val="15"/>
                <w:color w:val="auto"/>
              </w:rPr>
            </w:pPr>
          </w:p>
        </w:tc>
        <w:tc>
          <w:tcPr>
            <w:tcW w:w="940" w:type="dxa"/>
            <w:vAlign w:val="bottom"/>
            <w:tcBorders>
              <w:right w:val="single" w:sz="8" w:color="9ADAF6"/>
            </w:tcBorders>
            <w:gridSpan w:val="2"/>
            <w:shd w:val="clear" w:color="auto" w:fill="9ADAF6"/>
          </w:tcPr>
          <w:p>
            <w:pPr>
              <w:jc w:val="center"/>
              <w:spacing w:after="0" w:line="175" w:lineRule="exact"/>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15"/>
                <w:szCs w:val="15"/>
                <w:color w:val="auto"/>
              </w:rPr>
            </w:pPr>
          </w:p>
        </w:tc>
        <w:tc>
          <w:tcPr>
            <w:tcW w:w="960" w:type="dxa"/>
            <w:vAlign w:val="bottom"/>
            <w:gridSpan w:val="3"/>
            <w:shd w:val="clear" w:color="auto" w:fill="9ADAF6"/>
          </w:tcPr>
          <w:p>
            <w:pPr>
              <w:jc w:val="center"/>
              <w:spacing w:after="0" w:line="175" w:lineRule="exact"/>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15"/>
                <w:szCs w:val="15"/>
                <w:color w:val="auto"/>
              </w:rPr>
            </w:pPr>
          </w:p>
        </w:tc>
        <w:tc>
          <w:tcPr>
            <w:tcW w:w="980" w:type="dxa"/>
            <w:vAlign w:val="bottom"/>
            <w:gridSpan w:val="3"/>
            <w:shd w:val="clear" w:color="auto" w:fill="9ADAF6"/>
          </w:tcPr>
          <w:p>
            <w:pPr>
              <w:jc w:val="center"/>
              <w:spacing w:after="0" w:line="175"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line="175" w:lineRule="exact"/>
              <w:rPr>
                <w:sz w:val="20"/>
                <w:szCs w:val="20"/>
                <w:color w:val="auto"/>
              </w:rPr>
            </w:pPr>
            <w:r>
              <w:rPr>
                <w:rFonts w:ascii="Arial" w:cs="Arial" w:eastAsia="Arial" w:hAnsi="Arial"/>
                <w:sz w:val="17"/>
                <w:szCs w:val="17"/>
                <w:b w:val="1"/>
                <w:bCs w:val="1"/>
                <w:color w:val="auto"/>
              </w:rPr>
              <w:t>with</w:t>
            </w: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140" w:type="dxa"/>
            <w:vAlign w:val="bottom"/>
            <w:shd w:val="clear" w:color="auto" w:fill="9ADAF6"/>
          </w:tcPr>
          <w:p>
            <w:pPr>
              <w:jc w:val="center"/>
              <w:ind w:right="293"/>
              <w:spacing w:after="0"/>
              <w:rPr>
                <w:sz w:val="20"/>
                <w:szCs w:val="20"/>
                <w:color w:val="auto"/>
              </w:rPr>
            </w:pPr>
            <w:r>
              <w:rPr>
                <w:rFonts w:ascii="Arial" w:cs="Arial" w:eastAsia="Arial" w:hAnsi="Arial"/>
                <w:sz w:val="17"/>
                <w:szCs w:val="17"/>
                <w:b w:val="1"/>
                <w:bCs w:val="1"/>
                <w:color w:val="auto"/>
              </w:rPr>
              <w:t>Name</w:t>
            </w:r>
          </w:p>
        </w:tc>
        <w:tc>
          <w:tcPr>
            <w:tcW w:w="80" w:type="dxa"/>
            <w:vAlign w:val="bottom"/>
            <w:tcBorders>
              <w:right w:val="single" w:sz="8" w:color="9ADAF6"/>
            </w:tcBorders>
          </w:tcPr>
          <w:p>
            <w:pPr>
              <w:spacing w:after="0"/>
              <w:rPr>
                <w:sz w:val="16"/>
                <w:szCs w:val="16"/>
                <w:color w:val="auto"/>
              </w:rPr>
            </w:pPr>
          </w:p>
        </w:tc>
        <w:tc>
          <w:tcPr>
            <w:tcW w:w="5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6"/>
                <w:szCs w:val="16"/>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620" w:type="dxa"/>
            <w:vAlign w:val="bottom"/>
            <w:tcBorders>
              <w:right w:val="single" w:sz="8" w:color="9ADAF6"/>
            </w:tcBorders>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6"/>
                <w:szCs w:val="16"/>
                <w:color w:val="auto"/>
              </w:rPr>
            </w:pPr>
          </w:p>
        </w:tc>
        <w:tc>
          <w:tcPr>
            <w:tcW w:w="60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Date</w:t>
            </w:r>
          </w:p>
        </w:tc>
        <w:tc>
          <w:tcPr>
            <w:tcW w:w="40" w:type="dxa"/>
            <w:vAlign w:val="bottom"/>
          </w:tcPr>
          <w:p>
            <w:pPr>
              <w:spacing w:after="0"/>
              <w:rPr>
                <w:sz w:val="16"/>
                <w:szCs w:val="16"/>
                <w:color w:val="auto"/>
              </w:rPr>
            </w:pPr>
          </w:p>
        </w:tc>
        <w:tc>
          <w:tcPr>
            <w:tcW w:w="70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with Fee</w:t>
            </w:r>
          </w:p>
        </w:tc>
        <w:tc>
          <w:tcPr>
            <w:tcW w:w="40" w:type="dxa"/>
            <w:vAlign w:val="bottom"/>
          </w:tcPr>
          <w:p>
            <w:pPr>
              <w:spacing w:after="0"/>
              <w:rPr>
                <w:sz w:val="16"/>
                <w:szCs w:val="16"/>
                <w:color w:val="auto"/>
              </w:rPr>
            </w:pPr>
          </w:p>
        </w:tc>
        <w:tc>
          <w:tcPr>
            <w:tcW w:w="940" w:type="dxa"/>
            <w:vAlign w:val="bottom"/>
            <w:tcBorders>
              <w:right w:val="single" w:sz="8" w:color="9ADAF6"/>
            </w:tcBorders>
            <w:gridSpan w:val="2"/>
            <w:shd w:val="clear" w:color="auto" w:fill="9ADAF6"/>
          </w:tcPr>
          <w:p>
            <w:pPr>
              <w:jc w:val="center"/>
              <w:spacing w:after="0"/>
              <w:rPr>
                <w:sz w:val="20"/>
                <w:szCs w:val="20"/>
                <w:color w:val="auto"/>
              </w:rPr>
            </w:pPr>
            <w:r>
              <w:rPr>
                <w:rFonts w:ascii="Arial" w:cs="Arial" w:eastAsia="Arial" w:hAnsi="Arial"/>
                <w:sz w:val="17"/>
                <w:szCs w:val="17"/>
                <w:b w:val="1"/>
                <w:bCs w:val="1"/>
                <w:color w:val="auto"/>
              </w:rPr>
              <w:t>with Fee</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14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5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Borders>
              <w:right w:val="single" w:sz="8" w:color="9ADAF6"/>
            </w:tcBorders>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gridSpan w:val="3"/>
            <w:shd w:val="clear" w:color="auto" w:fill="9ADAF6"/>
          </w:tcPr>
          <w:p>
            <w:pPr>
              <w:jc w:val="center"/>
              <w:ind w:right="20"/>
              <w:spacing w:after="0"/>
              <w:rPr>
                <w:sz w:val="20"/>
                <w:szCs w:val="20"/>
                <w:color w:val="auto"/>
              </w:rPr>
            </w:pPr>
            <w:r>
              <w:rPr>
                <w:rFonts w:ascii="Arial" w:cs="Arial" w:eastAsia="Arial" w:hAnsi="Arial"/>
                <w:sz w:val="17"/>
                <w:szCs w:val="17"/>
                <w:b w:val="1"/>
                <w:bCs w:val="1"/>
                <w:color w:val="auto"/>
              </w:rPr>
              <w:t>Claimed</w:t>
            </w:r>
          </w:p>
        </w:tc>
        <w:tc>
          <w:tcPr>
            <w:tcW w:w="20" w:type="dxa"/>
            <w:vAlign w:val="bottom"/>
          </w:tcPr>
          <w:p>
            <w:pPr>
              <w:spacing w:after="0"/>
              <w:rPr>
                <w:sz w:val="16"/>
                <w:szCs w:val="16"/>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Offset</w:t>
            </w:r>
          </w:p>
        </w:tc>
        <w:tc>
          <w:tcPr>
            <w:tcW w:w="40" w:type="dxa"/>
            <w:vAlign w:val="bottom"/>
          </w:tcPr>
          <w:p>
            <w:pPr>
              <w:spacing w:after="0"/>
              <w:rPr>
                <w:sz w:val="16"/>
                <w:szCs w:val="16"/>
                <w:color w:val="auto"/>
              </w:rPr>
            </w:pPr>
          </w:p>
        </w:tc>
        <w:tc>
          <w:tcPr>
            <w:tcW w:w="940" w:type="dxa"/>
            <w:vAlign w:val="bottom"/>
            <w:tcBorders>
              <w:right w:val="single" w:sz="8" w:color="9ADAF6"/>
            </w:tcBorders>
            <w:gridSpan w:val="2"/>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6"/>
                <w:szCs w:val="16"/>
                <w:color w:val="auto"/>
              </w:rPr>
            </w:pPr>
          </w:p>
        </w:tc>
        <w:tc>
          <w:tcPr>
            <w:tcW w:w="96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6"/>
                <w:szCs w:val="16"/>
                <w:color w:val="auto"/>
              </w:rPr>
            </w:pPr>
          </w:p>
        </w:tc>
        <w:tc>
          <w:tcPr>
            <w:tcW w:w="98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with Fee</w:t>
            </w:r>
          </w:p>
        </w:tc>
        <w:tc>
          <w:tcPr>
            <w:tcW w:w="20" w:type="dxa"/>
            <w:vAlign w:val="bottom"/>
          </w:tcPr>
          <w:p>
            <w:pPr>
              <w:spacing w:after="0"/>
              <w:rPr>
                <w:sz w:val="16"/>
                <w:szCs w:val="16"/>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Offset</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44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5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1140" w:type="dxa"/>
            <w:vAlign w:val="bottom"/>
            <w:shd w:val="clear" w:color="auto" w:fill="9ADAF6"/>
          </w:tcPr>
          <w:p>
            <w:pPr>
              <w:spacing w:after="0" w:line="20" w:lineRule="exact"/>
              <w:rPr>
                <w:sz w:val="1"/>
                <w:szCs w:val="1"/>
                <w:color w:val="auto"/>
              </w:rPr>
            </w:pPr>
          </w:p>
        </w:tc>
        <w:tc>
          <w:tcPr>
            <w:tcW w:w="80" w:type="dxa"/>
            <w:vAlign w:val="bottom"/>
            <w:tcBorders>
              <w:right w:val="single" w:sz="8" w:color="9ADAF6"/>
            </w:tcBorders>
          </w:tcPr>
          <w:p>
            <w:pPr>
              <w:spacing w:after="0" w:line="20" w:lineRule="exact"/>
              <w:rPr>
                <w:sz w:val="1"/>
                <w:szCs w:val="1"/>
                <w:color w:val="auto"/>
              </w:rPr>
            </w:pPr>
          </w:p>
        </w:tc>
        <w:tc>
          <w:tcPr>
            <w:tcW w:w="56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380" w:type="dxa"/>
            <w:vAlign w:val="bottom"/>
            <w:tcBorders>
              <w:right w:val="single" w:sz="8" w:color="9ADAF6"/>
            </w:tcBorders>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9ADAF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16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vMerge w:val="continue"/>
            <w:shd w:val="clear" w:color="auto" w:fill="9ADAF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Borders>
              <w:right w:val="single" w:sz="8" w:color="9ADAF6"/>
            </w:tcBorders>
            <w:gridSpan w:val="2"/>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3"/>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3"/>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vMerge w:val="continue"/>
            <w:shd w:val="clear" w:color="auto" w:fill="9ADAF6"/>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14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8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Claimed</w:t>
            </w:r>
          </w:p>
        </w:tc>
        <w:tc>
          <w:tcPr>
            <w:tcW w:w="40" w:type="dxa"/>
            <w:vAlign w:val="bottom"/>
          </w:tcPr>
          <w:p>
            <w:pPr>
              <w:spacing w:after="0"/>
              <w:rPr>
                <w:sz w:val="16"/>
                <w:szCs w:val="16"/>
                <w:color w:val="auto"/>
              </w:rPr>
            </w:pPr>
          </w:p>
        </w:tc>
        <w:tc>
          <w:tcPr>
            <w:tcW w:w="940" w:type="dxa"/>
            <w:vAlign w:val="bottom"/>
            <w:tcBorders>
              <w:right w:val="single" w:sz="8" w:color="9ADAF6"/>
            </w:tcBorders>
            <w:gridSpan w:val="2"/>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Claimed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Source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80" w:type="dxa"/>
            <w:vAlign w:val="bottom"/>
            <w:tcBorders>
              <w:right w:val="single" w:sz="8" w:color="9ADAF6"/>
            </w:tcBorders>
          </w:tcPr>
          <w:p>
            <w:pPr>
              <w:spacing w:after="0"/>
              <w:rPr>
                <w:sz w:val="19"/>
                <w:szCs w:val="19"/>
                <w:color w:val="auto"/>
              </w:rPr>
            </w:pPr>
          </w:p>
        </w:tc>
        <w:tc>
          <w:tcPr>
            <w:tcW w:w="5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80" w:type="dxa"/>
            <w:vAlign w:val="bottom"/>
            <w:tcBorders>
              <w:right w:val="single" w:sz="8" w:color="9ADAF6"/>
            </w:tcBorders>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shd w:val="clear" w:color="auto" w:fill="9ADAF6"/>
          </w:tcPr>
          <w:p>
            <w:pPr>
              <w:spacing w:after="0"/>
              <w:rPr>
                <w:sz w:val="19"/>
                <w:szCs w:val="19"/>
                <w:color w:val="auto"/>
              </w:rPr>
            </w:pPr>
          </w:p>
        </w:tc>
        <w:tc>
          <w:tcPr>
            <w:tcW w:w="80" w:type="dxa"/>
            <w:vAlign w:val="bottom"/>
            <w:tcBorders>
              <w:right w:val="single" w:sz="8" w:color="9ADAF6"/>
            </w:tcBorders>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9"/>
                <w:szCs w:val="19"/>
                <w:color w:val="auto"/>
              </w:rPr>
            </w:pPr>
          </w:p>
        </w:tc>
        <w:tc>
          <w:tcPr>
            <w:tcW w:w="640" w:type="dxa"/>
            <w:vAlign w:val="bottom"/>
            <w:shd w:val="clear" w:color="auto" w:fill="9ADAF6"/>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20" w:type="dxa"/>
            <w:vAlign w:val="bottom"/>
            <w:gridSpan w:val="13"/>
          </w:tcPr>
          <w:p>
            <w:pPr>
              <w:ind w:left="660"/>
              <w:spacing w:after="0"/>
              <w:rPr>
                <w:sz w:val="20"/>
                <w:szCs w:val="20"/>
                <w:color w:val="auto"/>
              </w:rPr>
            </w:pPr>
            <w:r>
              <w:rPr>
                <w:rFonts w:ascii="Arial" w:cs="Arial" w:eastAsia="Arial" w:hAnsi="Arial"/>
                <w:sz w:val="17"/>
                <w:szCs w:val="17"/>
                <w:b w:val="1"/>
                <w:bCs w:val="1"/>
                <w:color w:val="auto"/>
              </w:rPr>
              <w:t>Rules 457(b) and 0-11(a)(2)</w:t>
            </w:r>
          </w:p>
        </w:tc>
        <w:tc>
          <w:tcPr>
            <w:tcW w:w="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0" w:type="dxa"/>
            <w:vAlign w:val="bottom"/>
            <w:tcBorders>
              <w:left w:val="single" w:sz="8" w:color="auto"/>
            </w:tcBorders>
          </w:tcPr>
          <w:p>
            <w:pPr>
              <w:spacing w:after="0"/>
              <w:rPr>
                <w:sz w:val="17"/>
                <w:szCs w:val="17"/>
                <w:color w:val="auto"/>
              </w:rPr>
            </w:pPr>
          </w:p>
        </w:tc>
        <w:tc>
          <w:tcPr>
            <w:tcW w:w="960" w:type="dxa"/>
            <w:vAlign w:val="bottom"/>
            <w:gridSpan w:val="3"/>
            <w:shd w:val="clear" w:color="auto" w:fill="E7E7E2"/>
          </w:tcPr>
          <w:p>
            <w:pPr>
              <w:ind w:left="20"/>
              <w:spacing w:after="0"/>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7"/>
                <w:szCs w:val="17"/>
                <w:color w:val="auto"/>
              </w:rPr>
            </w:pPr>
          </w:p>
        </w:tc>
        <w:tc>
          <w:tcPr>
            <w:tcW w:w="6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1140" w:type="dxa"/>
            <w:vAlign w:val="bottom"/>
            <w:shd w:val="clear" w:color="auto" w:fill="E7E7E2"/>
          </w:tcPr>
          <w:p>
            <w:pPr>
              <w:spacing w:after="0"/>
              <w:rPr>
                <w:sz w:val="17"/>
                <w:szCs w:val="17"/>
                <w:color w:val="auto"/>
              </w:rPr>
            </w:pPr>
          </w:p>
        </w:tc>
        <w:tc>
          <w:tcPr>
            <w:tcW w:w="80" w:type="dxa"/>
            <w:vAlign w:val="bottom"/>
            <w:tcBorders>
              <w:right w:val="single" w:sz="8" w:color="E7E7E2"/>
            </w:tcBorders>
          </w:tcPr>
          <w:p>
            <w:pPr>
              <w:spacing w:after="0"/>
              <w:rPr>
                <w:sz w:val="17"/>
                <w:szCs w:val="17"/>
                <w:color w:val="auto"/>
              </w:rPr>
            </w:pPr>
          </w:p>
        </w:tc>
        <w:tc>
          <w:tcPr>
            <w:tcW w:w="5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380" w:type="dxa"/>
            <w:vAlign w:val="bottom"/>
            <w:tcBorders>
              <w:right w:val="single" w:sz="8" w:color="E7E7E2"/>
            </w:tcBorders>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shd w:val="clear" w:color="auto" w:fill="E7E7E2"/>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1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E7E7E2"/>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shd w:val="clear" w:color="auto" w:fill="E7E7E2"/>
          </w:tcPr>
          <w:p>
            <w:pPr>
              <w:spacing w:after="0"/>
              <w:rPr>
                <w:sz w:val="17"/>
                <w:szCs w:val="17"/>
                <w:color w:val="auto"/>
              </w:rPr>
            </w:pPr>
          </w:p>
        </w:tc>
        <w:tc>
          <w:tcPr>
            <w:tcW w:w="80" w:type="dxa"/>
            <w:vAlign w:val="bottom"/>
            <w:tcBorders>
              <w:right w:val="single" w:sz="8" w:color="E7E7E2"/>
            </w:tcBorders>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3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2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shd w:val="clear" w:color="auto" w:fill="E7E7E2"/>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960" w:type="dxa"/>
            <w:vAlign w:val="bottom"/>
            <w:gridSpan w:val="3"/>
            <w:shd w:val="clear" w:color="auto" w:fill="E7E7E2"/>
          </w:tcPr>
          <w:p>
            <w:pPr>
              <w:ind w:left="20"/>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80" w:type="dxa"/>
            <w:vAlign w:val="bottom"/>
            <w:tcBorders>
              <w:right w:val="single" w:sz="8" w:color="E7E7E2"/>
            </w:tcBorders>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8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8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960" w:type="dxa"/>
            <w:vAlign w:val="bottom"/>
            <w:gridSpan w:val="3"/>
            <w:shd w:val="clear" w:color="auto" w:fill="E7E7E2"/>
          </w:tcPr>
          <w:p>
            <w:pPr>
              <w:ind w:left="20"/>
              <w:spacing w:after="0" w:line="185"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vMerge w:val="continue"/>
          </w:tcPr>
          <w:p>
            <w:pPr>
              <w:spacing w:after="0"/>
              <w:rPr>
                <w:sz w:val="16"/>
                <w:szCs w:val="16"/>
                <w:color w:val="auto"/>
              </w:rPr>
            </w:pPr>
          </w:p>
        </w:tc>
        <w:tc>
          <w:tcPr>
            <w:tcW w:w="3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140" w:type="dxa"/>
            <w:vAlign w:val="bottom"/>
            <w:shd w:val="clear" w:color="auto" w:fill="E7E7E2"/>
          </w:tcPr>
          <w:p>
            <w:pPr>
              <w:spacing w:after="0"/>
              <w:rPr>
                <w:sz w:val="16"/>
                <w:szCs w:val="16"/>
                <w:color w:val="auto"/>
              </w:rPr>
            </w:pPr>
          </w:p>
        </w:tc>
        <w:tc>
          <w:tcPr>
            <w:tcW w:w="80" w:type="dxa"/>
            <w:vAlign w:val="bottom"/>
            <w:tcBorders>
              <w:right w:val="single" w:sz="8" w:color="E7E7E2"/>
            </w:tcBorders>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8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8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960" w:type="dxa"/>
            <w:vAlign w:val="bottom"/>
            <w:gridSpan w:val="3"/>
            <w:shd w:val="clear" w:color="auto" w:fill="E7E7E2"/>
          </w:tcPr>
          <w:p>
            <w:pPr>
              <w:ind w:left="20"/>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80" w:type="dxa"/>
            <w:vAlign w:val="bottom"/>
            <w:tcBorders>
              <w:right w:val="single" w:sz="8" w:color="E7E7E2"/>
            </w:tcBorders>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8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8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40" w:type="dxa"/>
            <w:vAlign w:val="bottom"/>
            <w:gridSpan w:val="7"/>
          </w:tcPr>
          <w:p>
            <w:pPr>
              <w:jc w:val="right"/>
              <w:ind w:right="520"/>
              <w:spacing w:after="0"/>
              <w:rPr>
                <w:sz w:val="20"/>
                <w:szCs w:val="20"/>
                <w:color w:val="auto"/>
              </w:rPr>
            </w:pPr>
            <w:r>
              <w:rPr>
                <w:rFonts w:ascii="Arial" w:cs="Arial" w:eastAsia="Arial" w:hAnsi="Arial"/>
                <w:sz w:val="17"/>
                <w:szCs w:val="17"/>
                <w:b w:val="1"/>
                <w:bCs w:val="1"/>
                <w:color w:val="auto"/>
              </w:rPr>
              <w:t>Rule 457(p)</w:t>
            </w: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0" w:type="dxa"/>
            <w:vAlign w:val="bottom"/>
            <w:tcBorders>
              <w:left w:val="single" w:sz="8" w:color="auto"/>
            </w:tcBorders>
          </w:tcPr>
          <w:p>
            <w:pPr>
              <w:spacing w:after="0"/>
              <w:rPr>
                <w:sz w:val="17"/>
                <w:szCs w:val="17"/>
                <w:color w:val="auto"/>
              </w:rPr>
            </w:pPr>
          </w:p>
        </w:tc>
        <w:tc>
          <w:tcPr>
            <w:tcW w:w="960" w:type="dxa"/>
            <w:vAlign w:val="bottom"/>
            <w:gridSpan w:val="3"/>
            <w:shd w:val="clear" w:color="auto" w:fill="E7E7E2"/>
          </w:tcPr>
          <w:p>
            <w:pPr>
              <w:ind w:left="20"/>
              <w:spacing w:after="0"/>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7"/>
                <w:szCs w:val="17"/>
                <w:color w:val="auto"/>
              </w:rPr>
            </w:pPr>
          </w:p>
        </w:tc>
        <w:tc>
          <w:tcPr>
            <w:tcW w:w="6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1140" w:type="dxa"/>
            <w:vAlign w:val="bottom"/>
            <w:shd w:val="clear" w:color="auto" w:fill="E7E7E2"/>
          </w:tcPr>
          <w:p>
            <w:pPr>
              <w:spacing w:after="0"/>
              <w:rPr>
                <w:sz w:val="17"/>
                <w:szCs w:val="17"/>
                <w:color w:val="auto"/>
              </w:rPr>
            </w:pPr>
          </w:p>
        </w:tc>
        <w:tc>
          <w:tcPr>
            <w:tcW w:w="80" w:type="dxa"/>
            <w:vAlign w:val="bottom"/>
            <w:tcBorders>
              <w:right w:val="single" w:sz="8" w:color="E7E7E2"/>
            </w:tcBorders>
          </w:tcPr>
          <w:p>
            <w:pPr>
              <w:spacing w:after="0"/>
              <w:rPr>
                <w:sz w:val="17"/>
                <w:szCs w:val="17"/>
                <w:color w:val="auto"/>
              </w:rPr>
            </w:pPr>
          </w:p>
        </w:tc>
        <w:tc>
          <w:tcPr>
            <w:tcW w:w="5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380" w:type="dxa"/>
            <w:vAlign w:val="bottom"/>
            <w:tcBorders>
              <w:right w:val="single" w:sz="8" w:color="E7E7E2"/>
            </w:tcBorders>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shd w:val="clear" w:color="auto" w:fill="E7E7E2"/>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1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E7E7E2"/>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shd w:val="clear" w:color="auto" w:fill="E7E7E2"/>
          </w:tcPr>
          <w:p>
            <w:pPr>
              <w:spacing w:after="0"/>
              <w:rPr>
                <w:sz w:val="17"/>
                <w:szCs w:val="17"/>
                <w:color w:val="auto"/>
              </w:rPr>
            </w:pPr>
          </w:p>
        </w:tc>
        <w:tc>
          <w:tcPr>
            <w:tcW w:w="80" w:type="dxa"/>
            <w:vAlign w:val="bottom"/>
            <w:tcBorders>
              <w:right w:val="single" w:sz="8" w:color="E7E7E2"/>
            </w:tcBorders>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3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2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shd w:val="clear" w:color="auto" w:fill="E7E7E2"/>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960" w:type="dxa"/>
            <w:vAlign w:val="bottom"/>
            <w:gridSpan w:val="3"/>
            <w:shd w:val="clear" w:color="auto" w:fill="E7E7E2"/>
          </w:tcPr>
          <w:p>
            <w:pPr>
              <w:ind w:left="20"/>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80" w:type="dxa"/>
            <w:vAlign w:val="bottom"/>
            <w:tcBorders>
              <w:right w:val="single" w:sz="8" w:color="E7E7E2"/>
            </w:tcBorders>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8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8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960" w:type="dxa"/>
            <w:vAlign w:val="bottom"/>
            <w:gridSpan w:val="3"/>
            <w:shd w:val="clear" w:color="auto" w:fill="E7E7E2"/>
          </w:tcPr>
          <w:p>
            <w:pPr>
              <w:ind w:left="20"/>
              <w:spacing w:after="0" w:line="185"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vMerge w:val="continue"/>
          </w:tcPr>
          <w:p>
            <w:pPr>
              <w:spacing w:after="0"/>
              <w:rPr>
                <w:sz w:val="16"/>
                <w:szCs w:val="16"/>
                <w:color w:val="auto"/>
              </w:rPr>
            </w:pPr>
          </w:p>
        </w:tc>
        <w:tc>
          <w:tcPr>
            <w:tcW w:w="3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140" w:type="dxa"/>
            <w:vAlign w:val="bottom"/>
            <w:shd w:val="clear" w:color="auto" w:fill="E7E7E2"/>
          </w:tcPr>
          <w:p>
            <w:pPr>
              <w:spacing w:after="0"/>
              <w:rPr>
                <w:sz w:val="16"/>
                <w:szCs w:val="16"/>
                <w:color w:val="auto"/>
              </w:rPr>
            </w:pPr>
          </w:p>
        </w:tc>
        <w:tc>
          <w:tcPr>
            <w:tcW w:w="80" w:type="dxa"/>
            <w:vAlign w:val="bottom"/>
            <w:tcBorders>
              <w:right w:val="single" w:sz="8" w:color="E7E7E2"/>
            </w:tcBorders>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8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8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960" w:type="dxa"/>
            <w:vAlign w:val="bottom"/>
            <w:gridSpan w:val="3"/>
            <w:shd w:val="clear" w:color="auto" w:fill="E7E7E2"/>
          </w:tcPr>
          <w:p>
            <w:pPr>
              <w:ind w:left="20"/>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80" w:type="dxa"/>
            <w:vAlign w:val="bottom"/>
            <w:tcBorders>
              <w:right w:val="single" w:sz="8" w:color="E7E7E2"/>
            </w:tcBorders>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8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8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5"/>
        </w:trPr>
        <w:tc>
          <w:tcPr>
            <w:tcW w:w="4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10"/>
          </w:tcPr>
          <w:p>
            <w:pPr>
              <w:spacing w:after="0"/>
              <w:rPr>
                <w:sz w:val="20"/>
                <w:szCs w:val="20"/>
                <w:color w:val="auto"/>
              </w:rPr>
            </w:pPr>
            <w:r>
              <w:rPr>
                <w:rFonts w:ascii="Arial" w:cs="Arial" w:eastAsia="Arial" w:hAnsi="Arial"/>
                <w:sz w:val="17"/>
                <w:szCs w:val="17"/>
                <w:b w:val="1"/>
                <w:bCs w:val="1"/>
                <w:color w:val="auto"/>
              </w:rPr>
              <w:t>Table 3: Combined Prospectuses</w:t>
            </w: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00"/>
              <w:spacing w:after="0" w:line="196" w:lineRule="exact"/>
              <w:rPr>
                <w:sz w:val="20"/>
                <w:szCs w:val="20"/>
                <w:color w:val="auto"/>
              </w:rPr>
            </w:pPr>
            <w:r>
              <w:rPr>
                <w:rFonts w:ascii="MS PGothic" w:cs="MS PGothic" w:eastAsia="MS PGothic" w:hAnsi="MS PGothic"/>
                <w:sz w:val="17"/>
                <w:szCs w:val="17"/>
                <w:color w:val="auto"/>
                <w:highlight w:val="black"/>
                <w:w w:val="99"/>
              </w:rPr>
              <w:t>☑</w:t>
            </w:r>
            <w:r>
              <w:rPr>
                <w:rFonts w:ascii="Arial" w:cs="Arial" w:eastAsia="Arial" w:hAnsi="Arial"/>
                <w:sz w:val="17"/>
                <w:szCs w:val="17"/>
                <w:b w:val="1"/>
                <w:bCs w:val="1"/>
                <w:color w:val="auto"/>
                <w:w w:val="99"/>
              </w:rPr>
              <w:t>Not Applicable</w:t>
            </w:r>
          </w:p>
        </w:tc>
        <w:tc>
          <w:tcPr>
            <w:tcW w:w="0" w:type="dxa"/>
            <w:vAlign w:val="bottom"/>
          </w:tcPr>
          <w:p>
            <w:pPr>
              <w:spacing w:after="0"/>
              <w:rPr>
                <w:sz w:val="1"/>
                <w:szCs w:val="1"/>
                <w:color w:val="auto"/>
              </w:rPr>
            </w:pPr>
          </w:p>
        </w:tc>
      </w:tr>
      <w:tr>
        <w:trPr>
          <w:trHeight w:val="256"/>
        </w:trPr>
        <w:tc>
          <w:tcPr>
            <w:tcW w:w="40" w:type="dxa"/>
            <w:vAlign w:val="bottom"/>
            <w:tcBorders>
              <w:left w:val="single" w:sz="8" w:color="auto"/>
            </w:tcBorders>
          </w:tcPr>
          <w:p>
            <w:pPr>
              <w:spacing w:after="0"/>
              <w:rPr>
                <w:sz w:val="22"/>
                <w:szCs w:val="22"/>
                <w:color w:val="auto"/>
              </w:rPr>
            </w:pPr>
          </w:p>
        </w:tc>
        <w:tc>
          <w:tcPr>
            <w:tcW w:w="440" w:type="dxa"/>
            <w:vAlign w:val="bottom"/>
            <w:shd w:val="clear" w:color="auto" w:fill="9ADAF6"/>
          </w:tcPr>
          <w:p>
            <w:pPr>
              <w:spacing w:after="0"/>
              <w:rPr>
                <w:sz w:val="22"/>
                <w:szCs w:val="22"/>
                <w:color w:val="auto"/>
              </w:rPr>
            </w:pPr>
          </w:p>
        </w:tc>
        <w:tc>
          <w:tcPr>
            <w:tcW w:w="20" w:type="dxa"/>
            <w:vAlign w:val="bottom"/>
          </w:tcPr>
          <w:p>
            <w:pPr>
              <w:spacing w:after="0"/>
              <w:rPr>
                <w:sz w:val="22"/>
                <w:szCs w:val="22"/>
                <w:color w:val="auto"/>
              </w:rPr>
            </w:pPr>
          </w:p>
        </w:tc>
        <w:tc>
          <w:tcPr>
            <w:tcW w:w="1560" w:type="dxa"/>
            <w:vAlign w:val="bottom"/>
            <w:gridSpan w:val="5"/>
            <w:shd w:val="clear" w:color="auto" w:fill="9ADAF6"/>
          </w:tcPr>
          <w:p>
            <w:pPr>
              <w:ind w:left="220"/>
              <w:spacing w:after="0"/>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22"/>
                <w:szCs w:val="22"/>
                <w:color w:val="auto"/>
              </w:rPr>
            </w:pPr>
          </w:p>
        </w:tc>
        <w:tc>
          <w:tcPr>
            <w:tcW w:w="2560" w:type="dxa"/>
            <w:vAlign w:val="bottom"/>
            <w:gridSpan w:val="5"/>
            <w:shd w:val="clear" w:color="auto" w:fill="9ADAF6"/>
          </w:tcPr>
          <w:p>
            <w:pPr>
              <w:ind w:left="600"/>
              <w:spacing w:after="0"/>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22"/>
                <w:szCs w:val="22"/>
                <w:color w:val="auto"/>
              </w:rPr>
            </w:pPr>
          </w:p>
        </w:tc>
        <w:tc>
          <w:tcPr>
            <w:tcW w:w="220" w:type="dxa"/>
            <w:vAlign w:val="bottom"/>
            <w:shd w:val="clear" w:color="auto" w:fill="9ADAF6"/>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Borders>
              <w:right w:val="single" w:sz="8" w:color="9ADAF6"/>
            </w:tcBorders>
            <w:shd w:val="clear" w:color="auto" w:fill="9ADAF6"/>
          </w:tcPr>
          <w:p>
            <w:pPr>
              <w:spacing w:after="0"/>
              <w:rPr>
                <w:sz w:val="22"/>
                <w:szCs w:val="22"/>
                <w:color w:val="auto"/>
              </w:rPr>
            </w:pPr>
          </w:p>
        </w:tc>
        <w:tc>
          <w:tcPr>
            <w:tcW w:w="1180" w:type="dxa"/>
            <w:vAlign w:val="bottom"/>
            <w:gridSpan w:val="4"/>
            <w:shd w:val="clear" w:color="auto" w:fill="9ADAF6"/>
          </w:tcPr>
          <w:p>
            <w:pPr>
              <w:jc w:val="right"/>
              <w:ind w:right="253"/>
              <w:spacing w:after="0"/>
              <w:rPr>
                <w:sz w:val="20"/>
                <w:szCs w:val="20"/>
                <w:color w:val="auto"/>
              </w:rPr>
            </w:pPr>
            <w:r>
              <w:rPr>
                <w:rFonts w:ascii="Arial" w:cs="Arial" w:eastAsia="Arial" w:hAnsi="Arial"/>
                <w:sz w:val="17"/>
                <w:szCs w:val="17"/>
                <w:b w:val="1"/>
                <w:bCs w:val="1"/>
                <w:color w:val="auto"/>
                <w:w w:val="96"/>
              </w:rPr>
              <w:t>Amount of</w:t>
            </w:r>
          </w:p>
        </w:tc>
        <w:tc>
          <w:tcPr>
            <w:tcW w:w="20" w:type="dxa"/>
            <w:vAlign w:val="bottom"/>
          </w:tcPr>
          <w:p>
            <w:pPr>
              <w:spacing w:after="0"/>
              <w:rPr>
                <w:sz w:val="22"/>
                <w:szCs w:val="22"/>
                <w:color w:val="auto"/>
              </w:rPr>
            </w:pPr>
          </w:p>
        </w:tc>
        <w:tc>
          <w:tcPr>
            <w:tcW w:w="160" w:type="dxa"/>
            <w:vAlign w:val="bottom"/>
            <w:shd w:val="clear" w:color="auto" w:fill="9ADAF6"/>
          </w:tcPr>
          <w:p>
            <w:pPr>
              <w:spacing w:after="0"/>
              <w:rPr>
                <w:sz w:val="22"/>
                <w:szCs w:val="22"/>
                <w:color w:val="auto"/>
              </w:rPr>
            </w:pPr>
          </w:p>
        </w:tc>
        <w:tc>
          <w:tcPr>
            <w:tcW w:w="1860" w:type="dxa"/>
            <w:vAlign w:val="bottom"/>
            <w:gridSpan w:val="4"/>
            <w:shd w:val="clear" w:color="auto" w:fill="9ADAF6"/>
          </w:tcPr>
          <w:p>
            <w:pPr>
              <w:spacing w:after="0"/>
              <w:rPr>
                <w:sz w:val="20"/>
                <w:szCs w:val="20"/>
                <w:color w:val="auto"/>
              </w:rPr>
            </w:pPr>
            <w:r>
              <w:rPr>
                <w:rFonts w:ascii="Arial" w:cs="Arial" w:eastAsia="Arial" w:hAnsi="Arial"/>
                <w:sz w:val="17"/>
                <w:szCs w:val="17"/>
                <w:b w:val="1"/>
                <w:bCs w:val="1"/>
                <w:color w:val="auto"/>
              </w:rPr>
              <w:t>Maximum Aggregate</w:t>
            </w:r>
          </w:p>
        </w:tc>
        <w:tc>
          <w:tcPr>
            <w:tcW w:w="80" w:type="dxa"/>
            <w:vAlign w:val="bottom"/>
            <w:tcBorders>
              <w:right w:val="single" w:sz="8" w:color="9ADAF6"/>
            </w:tcBorders>
          </w:tcPr>
          <w:p>
            <w:pPr>
              <w:spacing w:after="0"/>
              <w:rPr>
                <w:sz w:val="22"/>
                <w:szCs w:val="22"/>
                <w:color w:val="auto"/>
              </w:rPr>
            </w:pPr>
          </w:p>
        </w:tc>
        <w:tc>
          <w:tcPr>
            <w:tcW w:w="20" w:type="dxa"/>
            <w:vAlign w:val="bottom"/>
            <w:shd w:val="clear" w:color="auto" w:fill="9ADAF6"/>
          </w:tcPr>
          <w:p>
            <w:pPr>
              <w:spacing w:after="0"/>
              <w:rPr>
                <w:sz w:val="22"/>
                <w:szCs w:val="22"/>
                <w:color w:val="auto"/>
              </w:rPr>
            </w:pPr>
          </w:p>
        </w:tc>
        <w:tc>
          <w:tcPr>
            <w:tcW w:w="600" w:type="dxa"/>
            <w:vAlign w:val="bottom"/>
            <w:shd w:val="clear" w:color="auto" w:fill="9ADAF6"/>
          </w:tcPr>
          <w:p>
            <w:pPr>
              <w:ind w:left="40"/>
              <w:spacing w:after="0"/>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22"/>
                <w:szCs w:val="22"/>
                <w:color w:val="auto"/>
              </w:rPr>
            </w:pPr>
          </w:p>
        </w:tc>
        <w:tc>
          <w:tcPr>
            <w:tcW w:w="1100" w:type="dxa"/>
            <w:vAlign w:val="bottom"/>
            <w:gridSpan w:val="3"/>
            <w:shd w:val="clear" w:color="auto" w:fill="9ADAF6"/>
          </w:tcPr>
          <w:p>
            <w:pPr>
              <w:ind w:left="40"/>
              <w:spacing w:after="0"/>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22"/>
                <w:szCs w:val="22"/>
                <w:color w:val="auto"/>
              </w:rPr>
            </w:pPr>
          </w:p>
        </w:tc>
        <w:tc>
          <w:tcPr>
            <w:tcW w:w="220" w:type="dxa"/>
            <w:vAlign w:val="bottom"/>
            <w:shd w:val="clear" w:color="auto" w:fill="9ADAF6"/>
          </w:tcPr>
          <w:p>
            <w:pPr>
              <w:spacing w:after="0"/>
              <w:rPr>
                <w:sz w:val="22"/>
                <w:szCs w:val="22"/>
                <w:color w:val="auto"/>
              </w:rPr>
            </w:pPr>
          </w:p>
        </w:tc>
        <w:tc>
          <w:tcPr>
            <w:tcW w:w="660" w:type="dxa"/>
            <w:vAlign w:val="bottom"/>
            <w:gridSpan w:val="2"/>
            <w:shd w:val="clear" w:color="auto" w:fill="9ADAF6"/>
          </w:tcPr>
          <w:p>
            <w:pPr>
              <w:ind w:left="20"/>
              <w:spacing w:after="0"/>
              <w:rPr>
                <w:sz w:val="20"/>
                <w:szCs w:val="20"/>
                <w:color w:val="auto"/>
              </w:rPr>
            </w:pPr>
            <w:r>
              <w:rPr>
                <w:rFonts w:ascii="Arial" w:cs="Arial" w:eastAsia="Arial" w:hAnsi="Arial"/>
                <w:sz w:val="17"/>
                <w:szCs w:val="17"/>
                <w:b w:val="1"/>
                <w:bCs w:val="1"/>
                <w:color w:val="auto"/>
              </w:rPr>
              <w:t>Initial</w:t>
            </w:r>
          </w:p>
        </w:tc>
        <w:tc>
          <w:tcPr>
            <w:tcW w:w="60" w:type="dxa"/>
            <w:vAlign w:val="bottom"/>
            <w:tcBorders>
              <w:left w:val="single" w:sz="8" w:color="9ADAF6"/>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shd w:val="clear" w:color="auto" w:fill="9ADAF6"/>
          </w:tcPr>
          <w:p>
            <w:pPr>
              <w:spacing w:after="0"/>
              <w:rPr>
                <w:sz w:val="8"/>
                <w:szCs w:val="8"/>
                <w:color w:val="auto"/>
              </w:rPr>
            </w:pPr>
          </w:p>
        </w:tc>
        <w:tc>
          <w:tcPr>
            <w:tcW w:w="80" w:type="dxa"/>
            <w:vAlign w:val="bottom"/>
            <w:tcBorders>
              <w:right w:val="single" w:sz="8" w:color="9ADAF6"/>
            </w:tcBorders>
            <w:shd w:val="clear" w:color="auto" w:fill="9ADAF6"/>
          </w:tcPr>
          <w:p>
            <w:pPr>
              <w:spacing w:after="0"/>
              <w:rPr>
                <w:sz w:val="8"/>
                <w:szCs w:val="8"/>
                <w:color w:val="auto"/>
              </w:rPr>
            </w:pPr>
          </w:p>
        </w:tc>
        <w:tc>
          <w:tcPr>
            <w:tcW w:w="5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Borders>
              <w:right w:val="single" w:sz="8" w:color="9ADAF6"/>
            </w:tcBorders>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94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860" w:type="dxa"/>
            <w:vAlign w:val="bottom"/>
            <w:shd w:val="clear" w:color="auto" w:fill="9ADAF6"/>
          </w:tcPr>
          <w:p>
            <w:pPr>
              <w:spacing w:after="0"/>
              <w:rPr>
                <w:sz w:val="8"/>
                <w:szCs w:val="8"/>
                <w:color w:val="auto"/>
              </w:rPr>
            </w:pPr>
          </w:p>
        </w:tc>
        <w:tc>
          <w:tcPr>
            <w:tcW w:w="80" w:type="dxa"/>
            <w:vAlign w:val="bottom"/>
            <w:tcBorders>
              <w:right w:val="single" w:sz="8" w:color="9ADAF6"/>
            </w:tcBorders>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40" w:type="dxa"/>
            <w:vAlign w:val="bottom"/>
            <w:shd w:val="clear" w:color="auto" w:fill="9ADAF6"/>
          </w:tcPr>
          <w:p>
            <w:pPr>
              <w:spacing w:after="0"/>
              <w:rPr>
                <w:sz w:val="8"/>
                <w:szCs w:val="8"/>
                <w:color w:val="auto"/>
              </w:rPr>
            </w:pPr>
          </w:p>
        </w:tc>
        <w:tc>
          <w:tcPr>
            <w:tcW w:w="60" w:type="dxa"/>
            <w:vAlign w:val="bottom"/>
            <w:tcBorders>
              <w:left w:val="single" w:sz="8" w:color="9ADAF6"/>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900" w:orient="portrait"/>
          <w:cols w:equalWidth="0" w:num="1">
            <w:col w:w="11360"/>
          </w:cols>
          <w:pgMar w:left="300" w:top="141" w:right="239" w:bottom="0" w:gutter="0" w:footer="0" w:header="0"/>
        </w:sectPr>
      </w:pPr>
    </w:p>
    <w:bookmarkStart w:id="33" w:name="page34"/>
    <w:bookmarkEnd w:id="3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Securities</w:t>
            </w:r>
          </w:p>
        </w:tc>
        <w:tc>
          <w:tcPr>
            <w:tcW w:w="20" w:type="dxa"/>
            <w:vAlign w:val="bottom"/>
          </w:tcPr>
          <w:p>
            <w:pPr>
              <w:spacing w:after="0"/>
              <w:rPr>
                <w:sz w:val="16"/>
                <w:szCs w:val="16"/>
                <w:color w:val="auto"/>
              </w:rPr>
            </w:pPr>
          </w:p>
        </w:tc>
        <w:tc>
          <w:tcPr>
            <w:tcW w:w="20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Offering Price of</w:t>
            </w:r>
          </w:p>
        </w:tc>
        <w:tc>
          <w:tcPr>
            <w:tcW w:w="20" w:type="dxa"/>
            <w:vAlign w:val="bottom"/>
          </w:tcPr>
          <w:p>
            <w:pPr>
              <w:spacing w:after="0"/>
              <w:rPr>
                <w:sz w:val="16"/>
                <w:szCs w:val="16"/>
                <w:color w:val="auto"/>
              </w:rPr>
            </w:pPr>
          </w:p>
        </w:tc>
        <w:tc>
          <w:tcPr>
            <w:tcW w:w="680" w:type="dxa"/>
            <w:vAlign w:val="bottom"/>
            <w:shd w:val="clear" w:color="auto" w:fill="9ADAF6"/>
          </w:tcPr>
          <w:p>
            <w:pPr>
              <w:ind w:left="140"/>
              <w:spacing w:after="0"/>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1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Effective</w:t>
            </w:r>
          </w:p>
        </w:tc>
        <w:tc>
          <w:tcPr>
            <w:tcW w:w="40" w:type="dxa"/>
            <w:vAlign w:val="bottom"/>
            <w:tcBorders>
              <w:right w:val="single" w:sz="8" w:color="auto"/>
            </w:tcBorders>
          </w:tcPr>
          <w:p>
            <w:pPr>
              <w:spacing w:after="0"/>
              <w:rPr>
                <w:sz w:val="16"/>
                <w:szCs w:val="16"/>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Previously</w:t>
            </w:r>
          </w:p>
        </w:tc>
        <w:tc>
          <w:tcPr>
            <w:tcW w:w="20" w:type="dxa"/>
            <w:vAlign w:val="bottom"/>
          </w:tcPr>
          <w:p>
            <w:pPr>
              <w:spacing w:after="0"/>
              <w:rPr>
                <w:sz w:val="16"/>
                <w:szCs w:val="16"/>
                <w:color w:val="auto"/>
              </w:rPr>
            </w:pPr>
          </w:p>
        </w:tc>
        <w:tc>
          <w:tcPr>
            <w:tcW w:w="20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Securities Previously</w:t>
            </w: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Date</w:t>
            </w:r>
          </w:p>
        </w:tc>
        <w:tc>
          <w:tcPr>
            <w:tcW w:w="40" w:type="dxa"/>
            <w:vAlign w:val="bottom"/>
            <w:tcBorders>
              <w:right w:val="single" w:sz="8" w:color="auto"/>
            </w:tcBorders>
          </w:tcPr>
          <w:p>
            <w:pPr>
              <w:spacing w:after="0"/>
              <w:rPr>
                <w:sz w:val="16"/>
                <w:szCs w:val="16"/>
                <w:color w:val="auto"/>
              </w:rPr>
            </w:pPr>
          </w:p>
        </w:tc>
      </w:tr>
      <w:tr>
        <w:trPr>
          <w:trHeight w:val="229"/>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2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9"/>
                <w:szCs w:val="19"/>
                <w:color w:val="auto"/>
              </w:rPr>
            </w:pPr>
          </w:p>
        </w:tc>
        <w:tc>
          <w:tcPr>
            <w:tcW w:w="20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r>
      <w:tr>
        <w:trPr>
          <w:trHeight w:val="23"/>
        </w:trPr>
        <w:tc>
          <w:tcPr>
            <w:tcW w:w="40" w:type="dxa"/>
            <w:vAlign w:val="bottom"/>
            <w:tcBorders>
              <w:left w:val="single" w:sz="8" w:color="auto"/>
            </w:tcBorders>
          </w:tcPr>
          <w:p>
            <w:pPr>
              <w:spacing w:after="0"/>
              <w:rPr>
                <w:sz w:val="2"/>
                <w:szCs w:val="2"/>
                <w:color w:val="auto"/>
              </w:rPr>
            </w:pPr>
          </w:p>
        </w:tc>
        <w:tc>
          <w:tcPr>
            <w:tcW w:w="440" w:type="dxa"/>
            <w:vAlign w:val="bottom"/>
            <w:tcBorders>
              <w:bottom w:val="single" w:sz="8" w:color="E7E7E2"/>
            </w:tcBorders>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tcBorders>
              <w:bottom w:val="single" w:sz="8" w:color="E7E7E2"/>
            </w:tcBorders>
          </w:tcPr>
          <w:p>
            <w:pPr>
              <w:spacing w:after="0"/>
              <w:rPr>
                <w:sz w:val="2"/>
                <w:szCs w:val="2"/>
                <w:color w:val="auto"/>
              </w:rPr>
            </w:pPr>
          </w:p>
        </w:tc>
        <w:tc>
          <w:tcPr>
            <w:tcW w:w="20" w:type="dxa"/>
            <w:vAlign w:val="bottom"/>
          </w:tcPr>
          <w:p>
            <w:pPr>
              <w:spacing w:after="0"/>
              <w:rPr>
                <w:sz w:val="2"/>
                <w:szCs w:val="2"/>
                <w:color w:val="auto"/>
              </w:rPr>
            </w:pPr>
          </w:p>
        </w:tc>
        <w:tc>
          <w:tcPr>
            <w:tcW w:w="2800" w:type="dxa"/>
            <w:vAlign w:val="bottom"/>
            <w:tcBorders>
              <w:bottom w:val="single" w:sz="8" w:color="E7E7E2"/>
            </w:tcBorders>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tcBorders>
              <w:bottom w:val="single" w:sz="8" w:color="E7E7E2"/>
            </w:tcBorders>
          </w:tcPr>
          <w:p>
            <w:pPr>
              <w:spacing w:after="0"/>
              <w:rPr>
                <w:sz w:val="2"/>
                <w:szCs w:val="2"/>
                <w:color w:val="auto"/>
              </w:rPr>
            </w:pPr>
          </w:p>
        </w:tc>
        <w:tc>
          <w:tcPr>
            <w:tcW w:w="20" w:type="dxa"/>
            <w:vAlign w:val="bottom"/>
          </w:tcPr>
          <w:p>
            <w:pPr>
              <w:spacing w:after="0"/>
              <w:rPr>
                <w:sz w:val="2"/>
                <w:szCs w:val="2"/>
                <w:color w:val="auto"/>
              </w:rPr>
            </w:pPr>
          </w:p>
        </w:tc>
        <w:tc>
          <w:tcPr>
            <w:tcW w:w="2020" w:type="dxa"/>
            <w:vAlign w:val="bottom"/>
            <w:tcBorders>
              <w:bottom w:val="single" w:sz="8" w:color="E7E7E2"/>
            </w:tcBorders>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Borders>
              <w:bottom w:val="single" w:sz="8" w:color="E7E7E2"/>
            </w:tcBorders>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Borders>
              <w:bottom w:val="single" w:sz="8" w:color="E7E7E2"/>
            </w:tcBorders>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Borders>
              <w:bottom w:val="single" w:sz="8" w:color="E7E7E2"/>
            </w:tcBorders>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80"/>
      </w:cols>
      <w:pgMar w:left="300" w:top="116"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
    </w:lvl>
    <w:lvl w:ilvl="1">
      <w:lvlJc w:val="left"/>
      <w:lvlText w:val="(%2)"/>
      <w:numFmt w:val="lowerRoman"/>
      <w:start w:val="1"/>
    </w:lvl>
  </w:abstractNum>
  <w:abstractNum w:abstractNumId="18">
    <w:nsid w:val="62BBD95A"/>
    <w:multiLevelType w:val="hybridMultilevel"/>
    <w:lvl w:ilvl="0">
      <w:lvlJc w:val="left"/>
      <w:lvlText w:val="(%1)"/>
      <w:numFmt w:val="lowerRoman"/>
      <w:start w:val="3"/>
    </w:lvl>
  </w:abstractNum>
  <w:abstractNum w:abstractNumId="19">
    <w:nsid w:val="436C6125"/>
    <w:multiLevelType w:val="hybridMultilevel"/>
    <w:lvl w:ilvl="0">
      <w:lvlJc w:val="left"/>
      <w:lvlText w:val="(%1)"/>
      <w:numFmt w:val="decimal"/>
      <w:start w:val="2"/>
    </w:lvl>
    <w:lvl w:ilvl="1">
      <w:lvlJc w:val="left"/>
      <w:lvlText w:val="(%2)"/>
      <w:numFmt w:val="lowerRoman"/>
      <w:start w:val="1"/>
    </w:lvl>
  </w:abstractNum>
  <w:abstractNum w:abstractNumId="20">
    <w:nsid w:val="628C895D"/>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72" Type="http://schemas.openxmlformats.org/officeDocument/2006/relationships/image" Target="media/image50.png"/><Relationship Id="rId73" Type="http://schemas.openxmlformats.org/officeDocument/2006/relationships/image" Target="media/image51.png"/><Relationship Id="rId81" Type="http://schemas.openxmlformats.org/officeDocument/2006/relationships/image" Target="media/image52.png"/><Relationship Id="rId82" Type="http://schemas.openxmlformats.org/officeDocument/2006/relationships/image" Target="media/image53.png"/><Relationship Id="rId83" Type="http://schemas.openxmlformats.org/officeDocument/2006/relationships/image" Target="media/image54.png"/><Relationship Id="rId84" Type="http://schemas.openxmlformats.org/officeDocument/2006/relationships/image" Target="media/image55.png"/><Relationship Id="rId85" Type="http://schemas.openxmlformats.org/officeDocument/2006/relationships/image" Target="media/image56.png"/><Relationship Id="rId86" Type="http://schemas.openxmlformats.org/officeDocument/2006/relationships/image" Target="media/image57.png"/><Relationship Id="rId87" Type="http://schemas.openxmlformats.org/officeDocument/2006/relationships/image" Target="media/image58.png"/><Relationship Id="rId88" Type="http://schemas.openxmlformats.org/officeDocument/2006/relationships/image" Target="media/image59.png"/><Relationship Id="rId89" Type="http://schemas.openxmlformats.org/officeDocument/2006/relationships/image" Target="media/image60.png"/><Relationship Id="rId90" Type="http://schemas.openxmlformats.org/officeDocument/2006/relationships/image" Target="media/image61.png"/><Relationship Id="rId91" Type="http://schemas.openxmlformats.org/officeDocument/2006/relationships/image" Target="media/image62.png"/><Relationship Id="rId92" Type="http://schemas.openxmlformats.org/officeDocument/2006/relationships/image" Target="media/image63.png"/><Relationship Id="rId93" Type="http://schemas.openxmlformats.org/officeDocument/2006/relationships/image" Target="media/image64.png"/><Relationship Id="rId94" Type="http://schemas.openxmlformats.org/officeDocument/2006/relationships/image" Target="media/image65.png"/><Relationship Id="rId95" Type="http://schemas.openxmlformats.org/officeDocument/2006/relationships/image" Target="media/image66.png"/><Relationship Id="rId96" Type="http://schemas.openxmlformats.org/officeDocument/2006/relationships/image" Target="media/image67.png"/><Relationship Id="rId97" Type="http://schemas.openxmlformats.org/officeDocument/2006/relationships/image" Target="media/image68.png"/><Relationship Id="rId98" Type="http://schemas.openxmlformats.org/officeDocument/2006/relationships/image" Target="media/image69.png"/><Relationship Id="rId32" Type="http://schemas.openxmlformats.org/officeDocument/2006/relationships/hyperlink" Target="https://www.sec.gov/ix?doc=/Archives/edgar/data/1811210/000162828026011053/lcid-20251231.htm" TargetMode="External"/><Relationship Id="rId33" Type="http://schemas.openxmlformats.org/officeDocument/2006/relationships/hyperlink" Target="https://www.sec.gov/ix?doc=/Archives/edgar/data/1811210/000162828025007725/lcid-20241231.htm" TargetMode="External"/><Relationship Id="rId34" Type="http://schemas.openxmlformats.org/officeDocument/2006/relationships/hyperlink" Target="https://www.sec.gov/ix?doc=/Archives/edgar/data/1811210/000110465925038701/tm2431387-2_def14a.htm" TargetMode="External"/><Relationship Id="rId35" Type="http://schemas.openxmlformats.org/officeDocument/2006/relationships/hyperlink" Target="https://www.sec.gov/ix?doc=/Archives/edgar/data/1811210/000162828026003278/lcid-20260120.htm" TargetMode="External"/><Relationship Id="rId36" Type="http://schemas.openxmlformats.org/officeDocument/2006/relationships/hyperlink" Target="https://www.sec.gov/ix?doc=/Archives/edgar/data/1811210/000162828026011118/lcid-20260220.htm" TargetMode="External"/><Relationship Id="rId37" Type="http://schemas.openxmlformats.org/officeDocument/2006/relationships/hyperlink" Target="https://www.sec.gov/ix?doc=/Archives/edgar/data/0001811210/000110465926042846/tm2611666d1_8k.htm" TargetMode="External"/><Relationship Id="rId38" Type="http://schemas.openxmlformats.org/officeDocument/2006/relationships/hyperlink" Target="https://www.sec.gov/ix?doc=/Archives/edgar/data/0001811210/000110465926042847/tm2611666d2_8k.htm" TargetMode="External"/><Relationship Id="rId39" Type="http://schemas.openxmlformats.org/officeDocument/2006/relationships/hyperlink" Target="https://www.sec.gov/Archives/edgar/data/1811210/000110465921095277/tm2120294d8_8a12b.htm" TargetMode="External"/><Relationship Id="rId40" Type="http://schemas.openxmlformats.org/officeDocument/2006/relationships/hyperlink" Target="https://www.sec.gov/Archives/edgar/data/1811210/000162828026011053/fy25form10-kxex410.htm" TargetMode="External"/><Relationship Id="rId66" Type="http://schemas.openxmlformats.org/officeDocument/2006/relationships/hyperlink" Target="https://www.sec.gov/Archives/edgar/data/1811210/000110465923049685/tm2313633d1_ex3-1.htm" TargetMode="External"/><Relationship Id="rId67" Type="http://schemas.openxmlformats.org/officeDocument/2006/relationships/hyperlink" Target="https://www.sec.gov/Archives/edgar/data/1811210/000181121025000022/q3fy25form8-kxex31.htm" TargetMode="External"/><Relationship Id="rId68" Type="http://schemas.openxmlformats.org/officeDocument/2006/relationships/hyperlink" Target="https://www.sec.gov/Archives/edgar/data/1811210/000110465923028423/tm238322d1_ex3-2.htm" TargetMode="External"/><Relationship Id="rId69" Type="http://schemas.openxmlformats.org/officeDocument/2006/relationships/hyperlink" Target="https://www.sec.gov/Archives/edgar/data/1811210/000110465924041218/tm2410184d1_ex3-1.htm" TargetMode="External"/><Relationship Id="rId70" Type="http://schemas.openxmlformats.org/officeDocument/2006/relationships/hyperlink" Target="https://www.sec.gov/Archives/edgar/data/1811210/000162828024037638/form8-kxex31.htm" TargetMode="External"/><Relationship Id="rId71" Type="http://schemas.openxmlformats.org/officeDocument/2006/relationships/hyperlink" Target="https://www.sec.gov/Archives/edgar/data/1811210/000110465921095842/tm2120294d5_ex4-1.htm" TargetMode="External"/><Relationship Id="rId74" Type="http://schemas.openxmlformats.org/officeDocument/2006/relationships/hyperlink" Target="https://www.sec.gov/Archives/edgar/data/1811210/000110465921026357/tm217491d2_ex10-1.htm" TargetMode="External"/><Relationship Id="rId75" Type="http://schemas.openxmlformats.org/officeDocument/2006/relationships/hyperlink" Target="https://www.sec.gov/Archives/edgar/data/1811210/000110465922115976/tm2229867d2_ex10-2.htm" TargetMode="External"/><Relationship Id="rId76" Type="http://schemas.openxmlformats.org/officeDocument/2006/relationships/hyperlink" Target="https://www.sec.gov/Archives/edgar/data/1811210/000110465923068017/tm2317789d1_ex10-2.htm" TargetMode="External"/><Relationship Id="rId77" Type="http://schemas.openxmlformats.org/officeDocument/2006/relationships/hyperlink" Target="https://www.sec.gov/Archives/edgar/data/1811210/000110465924041218/tm2410184d1_ex10-1.htm" TargetMode="External"/><Relationship Id="rId78" Type="http://schemas.openxmlformats.org/officeDocument/2006/relationships/hyperlink" Target="https://www.sec.gov/Archives/edgar/data/1811210/000162828024037638/form8-kxex101.htm" TargetMode="External"/><Relationship Id="rId79" Type="http://schemas.openxmlformats.org/officeDocument/2006/relationships/hyperlink" Target="https://www.sec.gov/Archives/edgar/data/1811210/000110465924109677/tm2426052d5_ex10-2.htm" TargetMode="External"/><Relationship Id="rId80" Type="http://schemas.openxmlformats.org/officeDocument/2006/relationships/hyperlink" Target="https://www.sec.gov/Archives/edgar/data/1811210/000162828025052593/ex101-amendmentno6totheinv.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2026-04-14T06:20:12Z</dcterms:created>
  <dcterms:modified xsi:type="dcterms:W3CDTF">2026-04-14T06:20:12Z</dcterms:modified>
</cp:coreProperties>
</file>